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sdt>
      <w:sdtPr>
        <w:docPartObj>
          <w:docPartGallery w:val="Cover Pages"/>
          <w:docPartUnique w:val="true"/>
        </w:docPartObj>
        <w:id w:val="1099620150"/>
      </w:sdtPr>
      <w:sdtContent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spacing w:before="0" w:after="0"/>
            <w:jc w:val="center"/>
            <w:rPr/>
          </w:pPr>
          <w:r>
            <w:rPr>
              <w:rFonts w:cs="Times New Roman"/>
              <w:b/>
              <w:bCs/>
              <w:sz w:val="32"/>
              <w:szCs w:val="32"/>
            </w:rPr>
    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«РЕКОНСТРУКЦИЯ ДЮКЕРНЫХ ПЕРЕХОДОВ СЕТЕЙ ВОДОСНАБЖЕНИЯ, РАСПОЛОЖЕННЫХ В КИРОВСКОМ РАЙОНЕ ГОРОДА АСТРАХАНИ. ДЮКЕРНЫЙ ПЕРЕХОД СЕТИ ВОДОПРОВОДА ЧЕРЕЗ Р. КУТУМ В СТВОРЕ ПО УЛ.КРАСНАЯ НАБЕРЕЖНАЯ,37 – УЛ. ШЕЛГУНОВА,2»</w:t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Normal"/>
            <w:jc w:val="center"/>
            <w:rPr/>
          </w:pPr>
          <w:r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>
          <w:pPr>
            <w:pStyle w:val="Normal"/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</w:r>
        </w:p>
        <w:p>
          <w:pPr>
            <w:pStyle w:val="Style44"/>
            <w:rPr/>
          </w:pPr>
          <w:r>
            <w:rPr>
              <w:rFonts w:cs="Times New Roman"/>
              <w:b w:val="false"/>
              <w:bCs/>
              <w:sz w:val="28"/>
              <w:szCs w:val="28"/>
            </w:rPr>
            <w:t>ПП-01-1/2</w:t>
          </w:r>
        </w:p>
        <w:p>
          <w:pPr>
            <w:pStyle w:val="Normal"/>
            <w:rPr/>
          </w:pPr>
          <w:r>
            <w:rPr/>
          </w:r>
        </w:p>
        <w:p>
          <w:pPr>
            <w:pStyle w:val="Contents1"/>
            <w:jc w:val="both"/>
            <w:rPr>
              <w:sz w:val="28"/>
            </w:rPr>
          </w:pPr>
          <w:r>
            <w:rPr>
              <w:sz w:val="28"/>
            </w:rPr>
          </w:r>
        </w:p>
      </w:sdtContent>
    </w:sdt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br w:type="page"/>
      </w:r>
    </w:p>
    <w:p>
      <w:pPr>
        <w:pStyle w:val="Style44"/>
        <w:jc w:val="both"/>
        <w:rPr/>
      </w:pPr>
      <w:r>
        <w:rPr>
          <w:b w:val="false"/>
          <w:caps w:val="false"/>
          <w:smallCaps w:val="false"/>
          <w:sz w:val="28"/>
          <w:szCs w:val="28"/>
        </w:rPr>
        <w:t xml:space="preserve">                                                          </w:t>
      </w:r>
      <w:r>
        <w:rPr>
          <w:caps w:val="false"/>
          <w:smallCaps w:val="false"/>
          <w:sz w:val="28"/>
        </w:rPr>
        <w:t>СОДЕРЖАНИЕ</w:t>
      </w:r>
    </w:p>
    <w:p>
      <w:pPr>
        <w:pStyle w:val="Style44"/>
        <w:spacing w:before="0" w:after="0"/>
        <w:rPr>
          <w:b w:val="false"/>
          <w:b w:val="false"/>
          <w:bCs/>
          <w:caps w:val="false"/>
          <w:smallCaps w:val="false"/>
          <w:sz w:val="28"/>
        </w:rPr>
      </w:pPr>
      <w:r>
        <w:rPr>
          <w:b w:val="false"/>
          <w:bCs/>
          <w:caps w:val="false"/>
          <w:smallCaps w:val="false"/>
          <w:sz w:val="28"/>
        </w:rPr>
        <w:t>РАЗДЕЛ 2. «ПОЛОЖЕНИЕ О РАЗМЕЩЕНИИ ЛИНЕЙНОГО ОБЪЕКТА»</w:t>
      </w:r>
    </w:p>
    <w:p>
      <w:pPr>
        <w:pStyle w:val="Style44"/>
        <w:spacing w:before="0" w:after="100"/>
        <w:rPr/>
      </w:pPr>
      <w:r>
        <w:rPr/>
      </w:r>
    </w:p>
    <w:sdt>
      <w:sdtPr>
        <w:docPartObj>
          <w:docPartGallery w:val="Table of Contents"/>
          <w:docPartUnique w:val="true"/>
        </w:docPartObj>
        <w:id w:val="560555089"/>
      </w:sdtPr>
      <w:sdtContent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> TOC \z \o "1-3" \u \h</w:instrText>
          </w:r>
          <w:r>
            <w:fldChar w:fldCharType="separate"/>
          </w:r>
          <w:hyperlink w:anchor="_Toc95125520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1.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НАИМЕНОВАНИЕ, ОСНОВНЫЕ ХАРАКТЕРИСТИКИ И НАЗНАЧЕНИЕ ПЛАНИРУЕМЫХ ДЛЯ РАЗМЕЩЕНИЯ ЛИНЕЙНЫХ ОБЪЕКТОВ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1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2.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2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3.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ПЕРЕЧЕНЬ КООРДИНАТ ХАРАКТЕРНЫХ ТОЧЕК ГРАНИЦ ЗОН ПЛАНИРУЕМОГО РАЗМЕЩЕНИЯ ЛИНЕЙНОГО ОБЪЕКТА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3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4.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4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5.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5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6.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6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7.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bCs/>
              <w:sz w:val="22"/>
              <w:szCs w:val="22"/>
              <w:lang w:eastAsia="ru-RU" w:bidi="ar-SA"/>
            </w:rPr>
          </w:pPr>
          <w:hyperlink w:anchor="_Toc95125527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8.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ИНФОРМАЦИЯ О НЕОБХОДИМОСТИ ОСУЩЕСТВЛЕНИЯ МЕРОПРИЯТИЙ ПО ОХРАНЕ ОКРУЖАЮЩЕЙ СРЕДЫ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>
              <w:rFonts w:ascii="Times New Roman" w:hAnsi="Times New Roman" w:eastAsia="SimSun" w:cs="Mangal" w:asciiTheme="minorHAnsi" w:cstheme="minorBidi" w:eastAsiaTheme="minorEastAsia" w:hAnsiTheme="minorHAnsi"/>
              <w:b w:val="false"/>
              <w:b w:val="false"/>
              <w:sz w:val="22"/>
              <w:szCs w:val="22"/>
              <w:lang w:eastAsia="ru-RU" w:bidi="ar-SA"/>
            </w:rPr>
          </w:pPr>
          <w:hyperlink w:anchor="_Toc95125528">
            <w:r>
              <w:rPr>
                <w:webHidden/>
                <w:rStyle w:val="Style29"/>
                <w:rFonts w:cs="Times New Roman" w:cstheme="minorHAnsi"/>
                <w:b w:val="false"/>
                <w:bCs/>
              </w:rPr>
              <w:t>9.</w:t>
            </w:r>
            <w:r>
              <w:rPr>
                <w:rStyle w:val="Style24"/>
                <w:rFonts w:eastAsia="SimSun" w:cs="Mangal" w:cstheme="minorBidi" w:eastAsiaTheme="minorEastAsia"/>
                <w:b w:val="false"/>
                <w:bCs/>
                <w:sz w:val="22"/>
                <w:szCs w:val="22"/>
                <w:lang w:eastAsia="ru-RU" w:bidi="ar-SA"/>
              </w:rPr>
              <w:tab/>
            </w:r>
            <w:r>
              <w:rPr>
                <w:rStyle w:val="Style29"/>
                <w:rFonts w:cs="Times New Roman"/>
                <w:b w:val="false"/>
                <w:bCs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_Toc95125528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4"/>
                <w:b w:val="false"/>
                <w:bCs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50"/>
            <w:rPr/>
          </w:pPr>
          <w:r>
            <w:rPr/>
          </w:r>
          <w:r>
            <w:fldChar w:fldCharType="end"/>
          </w:r>
        </w:p>
      </w:sdtContent>
    </w:sdt>
    <w:p>
      <w:pPr>
        <w:pStyle w:val="Normal"/>
        <w:rPr>
          <w:b/>
          <w:b/>
          <w:sz w:val="28"/>
          <w:lang w:bidi="ar-SA"/>
        </w:rPr>
      </w:pPr>
      <w:r>
        <w:rPr>
          <w:b/>
          <w:sz w:val="28"/>
          <w:lang w:bidi="ar-SA"/>
        </w:rPr>
      </w:r>
      <w:r>
        <w:br w:type="page"/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0" w:name="_Toc95125520"/>
      <w:bookmarkEnd w:id="0"/>
      <w:r>
        <w:rPr>
          <w:rFonts w:cs="Times New Roman" w:ascii="Times New Roman" w:hAnsi="Times New Roman"/>
          <w:caps w:val="false"/>
          <w:smallCaps w:val="false"/>
        </w:rPr>
        <w:t>НАИМЕНОВАНИЕ, ОСНОВНЫЕ ХАРАКТЕРИСТИКИ И НАЗНАЧЕНИЕ ПЛАНИРУЕМЫХ ДЛЯ РАЗМЕЩЕНИЯ ЛИНЕЙНЫХ ОБЪЕКТОВ</w:t>
      </w:r>
    </w:p>
    <w:p>
      <w:pPr>
        <w:pStyle w:val="Normal"/>
        <w:spacing w:lineRule="auto" w:line="360" w:before="0" w:after="0"/>
        <w:ind w:firstLine="56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Наименование объекта:</w:t>
      </w:r>
      <w:r>
        <w:rPr>
          <w:rFonts w:cs="Times New Roman"/>
          <w:sz w:val="28"/>
          <w:szCs w:val="28"/>
        </w:rPr>
        <w:t xml:space="preserve"> </w:t>
      </w:r>
      <w:bookmarkStart w:id="1" w:name="_Hlk98413179"/>
      <w:bookmarkEnd w:id="1"/>
      <w:r>
        <w:rPr>
          <w:rFonts w:cs="Times New Roman"/>
          <w:color w:val="000000"/>
          <w:sz w:val="28"/>
          <w:szCs w:val="28"/>
        </w:rPr>
        <w:t>Реконструкция дюкерных переходов сетей водоснабжения, расположенных в Кировском районе города Астрахани. Дюкерный переход сети водопровода через р. Кутум в створе по ул.Красная Набережная,37 – ул. Шелгунова,2.</w:t>
      </w:r>
    </w:p>
    <w:p>
      <w:pPr>
        <w:pStyle w:val="Textbody"/>
        <w:spacing w:lineRule="auto" w:line="360"/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Основные характеристики и назначение планируемых для размещения линейных объектов:</w:t>
      </w:r>
    </w:p>
    <w:tbl>
      <w:tblPr>
        <w:tblStyle w:val="afffff9"/>
        <w:tblW w:w="992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9"/>
        <w:gridCol w:w="4535"/>
        <w:gridCol w:w="4678"/>
      </w:tblGrid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cstheme="minorHAnsi"/>
                <w:b/>
                <w:bCs/>
                <w:sz w:val="24"/>
                <w:szCs w:val="24"/>
                <w:lang w:bidi="ar-SA"/>
              </w:rPr>
              <w:t xml:space="preserve">№ </w:t>
            </w:r>
            <w:r>
              <w:rPr>
                <w:rFonts w:eastAsia="Calibri" w:cs="Times New Roman" w:cstheme="minorHAnsi"/>
                <w:b/>
                <w:bCs/>
                <w:sz w:val="24"/>
                <w:szCs w:val="24"/>
                <w:lang w:bidi="ar-SA"/>
              </w:rPr>
              <w:t>п/п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cstheme="minorHAnsi"/>
                <w:b/>
                <w:bCs/>
                <w:sz w:val="24"/>
                <w:szCs w:val="24"/>
                <w:lang w:bidi="ar-SA"/>
              </w:rPr>
              <w:t>Перечень основных планировочных характеристик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cstheme="minorHAnsi"/>
                <w:b/>
                <w:bCs/>
                <w:sz w:val="24"/>
                <w:szCs w:val="24"/>
                <w:lang w:bidi="ar-SA"/>
              </w:rPr>
              <w:t>Содержание планировочных характеристик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276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1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276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Основание подготовки проекта планировки территории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276"/>
              <w:ind w:hanging="0"/>
              <w:rPr>
                <w:rFonts w:ascii="Times New Roman" w:hAnsi="Times New Roman" w:eastAsia="Symbol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Symbol" w:cs="Times New Roman" w:cstheme="minorHAnsi"/>
                <w:sz w:val="24"/>
                <w:szCs w:val="24"/>
                <w:lang w:bidi="ar-SA"/>
              </w:rPr>
              <w:t>- Распоряжение, выданное управлением по строительству, архитектуре и градостроительству администрации МО «Город Астрахань» на разработку вышеуказанного проекта планировки от 24.01.22 г. № 04-01-118</w:t>
            </w:r>
          </w:p>
          <w:p>
            <w:pPr>
              <w:pStyle w:val="Textbody"/>
              <w:widowControl/>
              <w:spacing w:lineRule="auto" w:line="276"/>
              <w:ind w:hanging="0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Symbol" w:cs="Times New Roman" w:cstheme="minorHAnsi"/>
                <w:sz w:val="24"/>
                <w:szCs w:val="24"/>
                <w:lang w:bidi="ar-SA"/>
              </w:rPr>
              <w:t>-Задание, выданное управлением по строительству, архитектуре и градостроительству администрации МО «Город Астрахань» на разработку вышеуказанного проекта планировки от 24.01.22 г. № 04-01-118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  <w:lang w:val="en-US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Вид работ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Реконструкция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3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Категория линейного объекта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Водопровод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4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Планировочные показатели линейного объекта: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Calibri" w:hAnsi="Calibri" w:eastAsia="Calibri" w:cs="Times New Roman" w:cstheme="minorHAnsi"/>
                <w:sz w:val="22"/>
                <w:szCs w:val="22"/>
                <w:lang w:bidi="ar-SA"/>
              </w:rPr>
            </w:pPr>
            <w:r>
              <w:rPr>
                <w:rFonts w:eastAsia="Calibri" w:cs="Times New Roman" w:cstheme="minorHAnsi" w:ascii="Calibri" w:hAnsi="Calibri"/>
                <w:sz w:val="22"/>
                <w:szCs w:val="22"/>
                <w:lang w:bidi="ar-SA"/>
              </w:rPr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4.1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Протяженность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tabs>
                <w:tab w:val="left" w:pos="728" w:leader="none"/>
                <w:tab w:val="left" w:pos="1458" w:leader="none"/>
                <w:tab w:val="left" w:pos="1527" w:leader="none"/>
              </w:tabs>
              <w:suppressAutoHyphens w:val="false"/>
              <w:spacing w:before="0" w:after="0"/>
              <w:ind w:hanging="0"/>
              <w:rPr>
                <w:rFonts w:ascii="Times New Roman" w:hAnsi="Times New Roman" w:cs="Times New Roman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 xml:space="preserve">0,09 км 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 xml:space="preserve">4.2 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Диаметр трубопроводов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tabs>
                <w:tab w:val="left" w:pos="728" w:leader="none"/>
                <w:tab w:val="left" w:pos="1458" w:leader="none"/>
                <w:tab w:val="left" w:pos="1527" w:leader="none"/>
              </w:tabs>
              <w:suppressAutoHyphens w:val="false"/>
              <w:spacing w:before="0" w:after="0"/>
              <w:ind w:hanging="0"/>
              <w:rPr>
                <w:rFonts w:ascii="Times New Roman" w:hAnsi="Times New Roman" w:cs="Times New Roman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Calibri" w:hAnsi="Calibri" w:cstheme="minorHAnsi"/>
                <w:color w:val="000000"/>
                <w:sz w:val="22"/>
                <w:szCs w:val="22"/>
                <w:lang w:bidi="ar-SA"/>
              </w:rPr>
              <w:t>- дюкерный переход сети водопровода (</w:t>
            </w:r>
            <w:r>
              <w:rPr>
                <w:rFonts w:eastAsia="Calibri" w:cs="Times New Roman" w:ascii="Calibri" w:hAnsi="Calibri" w:cstheme="minorHAnsi"/>
                <w:sz w:val="22"/>
                <w:szCs w:val="22"/>
                <w:lang w:bidi="ar-SA"/>
              </w:rPr>
              <w:t xml:space="preserve">две нитки) </w:t>
            </w:r>
            <w:r>
              <w:rPr>
                <w:rFonts w:eastAsia="Calibri" w:cs="Times New Roman" w:ascii="Calibri" w:hAnsi="Calibri" w:cstheme="minorHAnsi"/>
                <w:color w:val="000000"/>
                <w:sz w:val="22"/>
                <w:szCs w:val="22"/>
                <w:lang w:bidi="ar-SA"/>
              </w:rPr>
              <w:t>диаметром – не менее1200 мм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4.3</w:t>
            </w:r>
          </w:p>
        </w:tc>
        <w:tc>
          <w:tcPr>
            <w:tcW w:w="4535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left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Материал</w:t>
            </w:r>
          </w:p>
        </w:tc>
        <w:tc>
          <w:tcPr>
            <w:tcW w:w="4678" w:type="dxa"/>
            <w:tcBorders/>
            <w:shd w:fill="auto" w:val="clear"/>
            <w:tcMar>
              <w:left w:w="108" w:type="dxa"/>
            </w:tcMar>
          </w:tcPr>
          <w:p>
            <w:pPr>
              <w:pStyle w:val="Textbody"/>
              <w:widowControl/>
              <w:spacing w:lineRule="auto" w:line="360"/>
              <w:ind w:hanging="0"/>
              <w:jc w:val="center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/>
                <w:sz w:val="24"/>
                <w:szCs w:val="24"/>
                <w:lang w:bidi="ar-SA"/>
              </w:rPr>
              <w:t>ПНД (полиэтилен низкого давления)</w:t>
            </w:r>
          </w:p>
        </w:tc>
      </w:tr>
    </w:tbl>
    <w:p>
      <w:pPr>
        <w:pStyle w:val="Textbody"/>
        <w:spacing w:lineRule="auto" w:line="360"/>
        <w:ind w:firstLine="56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firstLine="567"/>
        <w:rPr>
          <w:sz w:val="28"/>
          <w:szCs w:val="28"/>
        </w:rPr>
      </w:pPr>
      <w:r>
        <w:rPr>
          <w:sz w:val="28"/>
          <w:szCs w:val="28"/>
        </w:rPr>
        <w:t>Необходимость замены и установки дюкерных камер необходимо определить на дальнейшей стадии разработки проектной документации.</w:t>
      </w:r>
    </w:p>
    <w:p>
      <w:pPr>
        <w:pStyle w:val="Textbody"/>
        <w:spacing w:lineRule="auto" w:line="360"/>
        <w:ind w:firstLine="56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2" w:name="_Toc95125521"/>
      <w:bookmarkEnd w:id="2"/>
      <w:r>
        <w:rPr>
          <w:rFonts w:cs="Times New Roman" w:ascii="Times New Roman" w:hAnsi="Times New Roman"/>
          <w:caps w:val="false"/>
          <w:smallCaps w:val="false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>
      <w:pPr>
        <w:pStyle w:val="Standard"/>
        <w:spacing w:lineRule="auto" w:line="360" w:before="317" w:after="10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 «Город Астрахань» в Кировском районе г. Астрахани. Согласно Земельному кодексу категория земель проектируемой территории: земли населенных пунктов.</w:t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3" w:name="_Toc95125522"/>
      <w:bookmarkEnd w:id="3"/>
      <w:r>
        <w:rPr>
          <w:rFonts w:cs="Times New Roman" w:ascii="Times New Roman" w:hAnsi="Times New Roman"/>
          <w:caps w:val="false"/>
          <w:smallCaps w:val="false"/>
        </w:rPr>
        <w:t>ПЕРЕЧЕНЬ КООРДИНАТ ХАРАКТЕРНЫХ ТОЧЕК ГРАНИЦ ЗОН ПЛАНИРУЕМОГО РАЗМЕЩЕНИЯ ЛИНЕЙНОГО ОБЪЕКТА</w:t>
      </w:r>
    </w:p>
    <w:p>
      <w:pPr>
        <w:pStyle w:val="Textbody"/>
        <w:spacing w:lineRule="auto" w:line="360"/>
        <w:ind w:hanging="0"/>
        <w:jc w:val="center"/>
        <w:rPr>
          <w:rFonts w:ascii="Times New Roman" w:hAnsi="Times New Roman" w:cs="Times New Roman" w:asciiTheme="minorHAnsi" w:cstheme="minorHAnsi" w:hAnsiTheme="minorHAnsi"/>
          <w:b/>
          <w:b/>
          <w:bCs/>
          <w:color w:val="FF0000"/>
          <w:sz w:val="28"/>
          <w:szCs w:val="28"/>
        </w:rPr>
      </w:pPr>
      <w:r>
        <w:rPr>
          <w:rFonts w:cs="Times New Roman" w:cstheme="minorHAnsi"/>
          <w:b/>
          <w:bCs/>
          <w:color w:val="000000"/>
          <w:sz w:val="28"/>
          <w:szCs w:val="28"/>
        </w:rPr>
        <w:t>Граница зоны планируемого размещения линейного объекта (дюкерный переход сети водопровода диаметром 1000 мм)</w:t>
      </w:r>
    </w:p>
    <w:tbl>
      <w:tblPr>
        <w:tblW w:w="9715" w:type="dxa"/>
        <w:jc w:val="left"/>
        <w:tblInd w:w="1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40"/>
        <w:gridCol w:w="3440"/>
        <w:gridCol w:w="2835"/>
      </w:tblGrid>
      <w:tr>
        <w:trPr>
          <w:tblHeader w:val="true"/>
          <w:trHeight w:val="397" w:hRule="atLeast"/>
        </w:trPr>
        <w:tc>
          <w:tcPr>
            <w:tcW w:w="3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bookmarkStart w:id="4" w:name="__RefHeading__37_17986043041"/>
            <w:bookmarkEnd w:id="4"/>
            <w:r>
              <w:rPr/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X, м</w:t>
            </w:r>
          </w:p>
        </w:tc>
        <w:tc>
          <w:tcPr>
            <w:tcW w:w="283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Y, м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р1</w:t>
            </w:r>
          </w:p>
        </w:tc>
        <w:tc>
          <w:tcPr>
            <w:tcW w:w="3440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421180,26</w:t>
            </w:r>
          </w:p>
        </w:tc>
        <w:tc>
          <w:tcPr>
            <w:tcW w:w="2835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2222738,79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р2</w:t>
            </w:r>
          </w:p>
        </w:tc>
        <w:tc>
          <w:tcPr>
            <w:tcW w:w="3440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421174,93</w:t>
            </w:r>
          </w:p>
        </w:tc>
        <w:tc>
          <w:tcPr>
            <w:tcW w:w="2835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2222759,66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р3</w:t>
            </w:r>
          </w:p>
        </w:tc>
        <w:tc>
          <w:tcPr>
            <w:tcW w:w="3440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421145,44</w:t>
            </w:r>
          </w:p>
        </w:tc>
        <w:tc>
          <w:tcPr>
            <w:tcW w:w="2835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2222750,82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р4</w:t>
            </w:r>
          </w:p>
        </w:tc>
        <w:tc>
          <w:tcPr>
            <w:tcW w:w="3440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421097,00</w:t>
            </w:r>
          </w:p>
        </w:tc>
        <w:tc>
          <w:tcPr>
            <w:tcW w:w="2835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2222736,31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р5</w:t>
            </w:r>
          </w:p>
        </w:tc>
        <w:tc>
          <w:tcPr>
            <w:tcW w:w="3440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421061,21</w:t>
            </w:r>
          </w:p>
        </w:tc>
        <w:tc>
          <w:tcPr>
            <w:tcW w:w="2835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2222725,59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р6</w:t>
            </w:r>
          </w:p>
        </w:tc>
        <w:tc>
          <w:tcPr>
            <w:tcW w:w="3440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421068,66</w:t>
            </w:r>
          </w:p>
        </w:tc>
        <w:tc>
          <w:tcPr>
            <w:tcW w:w="2835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2222703,23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р7</w:t>
            </w:r>
          </w:p>
        </w:tc>
        <w:tc>
          <w:tcPr>
            <w:tcW w:w="3440" w:type="dxa"/>
            <w:tcBorders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421103,88</w:t>
            </w:r>
          </w:p>
        </w:tc>
        <w:tc>
          <w:tcPr>
            <w:tcW w:w="2835" w:type="dxa"/>
            <w:tcBorders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2222714,45</w:t>
            </w:r>
          </w:p>
        </w:tc>
      </w:tr>
      <w:tr>
        <w:trPr>
          <w:trHeight w:val="397" w:hRule="atLeast"/>
        </w:trPr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р8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421152,26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2222729,87</w:t>
            </w:r>
          </w:p>
        </w:tc>
      </w:tr>
    </w:tbl>
    <w:p>
      <w:pPr>
        <w:pStyle w:val="Standard"/>
        <w:spacing w:lineRule="auto" w:line="336"/>
        <w:rPr>
          <w:rFonts w:eastAsia="Arial"/>
          <w:b/>
          <w:b/>
          <w:color w:val="FF0000"/>
          <w:sz w:val="28"/>
        </w:rPr>
      </w:pPr>
      <w:r>
        <w:rPr>
          <w:rFonts w:eastAsia="Arial"/>
          <w:b/>
          <w:color w:val="FF0000"/>
          <w:sz w:val="28"/>
        </w:rPr>
      </w:r>
    </w:p>
    <w:p>
      <w:pPr>
        <w:pStyle w:val="Standard"/>
        <w:spacing w:lineRule="auto" w:line="336"/>
        <w:rPr>
          <w:rFonts w:eastAsia="Arial"/>
          <w:b/>
          <w:b/>
          <w:color w:val="FF0000"/>
          <w:sz w:val="28"/>
        </w:rPr>
      </w:pPr>
      <w:r>
        <w:rPr>
          <w:rFonts w:eastAsia="Arial"/>
          <w:b/>
          <w:color w:val="FF0000"/>
          <w:sz w:val="28"/>
        </w:rPr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5" w:name="_Toc95125523"/>
      <w:bookmarkEnd w:id="5"/>
      <w:r>
        <w:rPr>
          <w:rFonts w:cs="Times New Roman" w:ascii="Times New Roman" w:hAnsi="Times New Roman"/>
          <w:caps w:val="false"/>
          <w:smallCaps w:val="false"/>
        </w:rPr>
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</w:r>
    </w:p>
    <w:p>
      <w:pPr>
        <w:pStyle w:val="Textbody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Проектом планировки не предусматривается изменение местоположения реконструируемых линейных объектов</w:t>
      </w:r>
      <w:r>
        <w:rPr>
          <w:sz w:val="28"/>
          <w:szCs w:val="28"/>
        </w:rPr>
        <w:t>.</w:t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6" w:name="_Toc95125524"/>
      <w:bookmarkEnd w:id="6"/>
      <w:r>
        <w:rPr>
          <w:rFonts w:cs="Times New Roman" w:ascii="Times New Roman" w:hAnsi="Times New Roman"/>
          <w:caps w:val="false"/>
          <w:smallCaps w:val="false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</w:p>
    <w:p>
      <w:pPr>
        <w:pStyle w:val="Standard"/>
        <w:spacing w:lineRule="auto" w:line="336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Учитывая глубину заложения инженерных коммуникаций и подземный способ их размещения,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7" w:name="_Toc95125525"/>
      <w:bookmarkEnd w:id="7"/>
      <w:r>
        <w:rPr>
          <w:rFonts w:cs="Times New Roman" w:ascii="Times New Roman" w:hAnsi="Times New Roman"/>
          <w:caps w:val="false"/>
          <w:smallCaps w:val="false"/>
        </w:rP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rPr>
          <w:spacing w:val="-2"/>
          <w:sz w:val="28"/>
          <w:szCs w:val="28"/>
        </w:rPr>
      </w:pPr>
      <w:bookmarkStart w:id="8" w:name="_Hlk72404305"/>
      <w:bookmarkEnd w:id="8"/>
      <w:r>
        <w:rPr>
          <w:spacing w:val="-2"/>
          <w:sz w:val="28"/>
          <w:szCs w:val="28"/>
        </w:rPr>
        <w:t xml:space="preserve">На территории, входящей в границы проектирования, расположены объекты капитального строительства, </w:t>
      </w:r>
      <w:r>
        <w:rPr>
          <w:rFonts w:cs="Times New Roman" w:cstheme="minorHAnsi"/>
          <w:color w:val="000000"/>
          <w:sz w:val="28"/>
          <w:szCs w:val="28"/>
          <w:lang w:bidi="ar-SA"/>
        </w:rPr>
        <w:t>не учтённые в ЕГРН</w:t>
      </w:r>
      <w:r>
        <w:rPr>
          <w:spacing w:val="-2"/>
          <w:sz w:val="28"/>
          <w:szCs w:val="28"/>
        </w:rPr>
        <w:t xml:space="preserve">, а также объекты недвижимости </w:t>
      </w:r>
      <w:r>
        <w:rPr>
          <w:rFonts w:cs="Times New Roman" w:cstheme="minorHAnsi"/>
          <w:spacing w:val="-2"/>
          <w:sz w:val="28"/>
          <w:szCs w:val="28"/>
        </w:rPr>
        <w:t>(ЗУ учтённые в ЕГРН)</w:t>
      </w:r>
      <w:r>
        <w:rPr>
          <w:spacing w:val="-2"/>
          <w:sz w:val="28"/>
          <w:szCs w:val="28"/>
        </w:rPr>
        <w:t xml:space="preserve">, частично или полностью расположенные в </w:t>
      </w:r>
      <w:r>
        <w:rPr>
          <w:rFonts w:cs="Times New Roman" w:cstheme="minorHAnsi"/>
          <w:spacing w:val="-2"/>
          <w:sz w:val="28"/>
          <w:szCs w:val="28"/>
        </w:rPr>
        <w:t>з</w:t>
      </w:r>
      <w:r>
        <w:rPr>
          <w:rFonts w:cs="Times New Roman" w:cstheme="minorHAnsi"/>
          <w:color w:val="000000"/>
          <w:sz w:val="28"/>
          <w:szCs w:val="28"/>
          <w:lang w:bidi="ar-SA"/>
        </w:rPr>
        <w:t xml:space="preserve">оне планируемого размещения линейного объекта, не </w:t>
      </w:r>
      <w:r>
        <w:rPr>
          <w:spacing w:val="-2"/>
          <w:sz w:val="28"/>
          <w:szCs w:val="28"/>
        </w:rPr>
        <w:t xml:space="preserve">подлежащие изъятию. </w:t>
      </w:r>
    </w:p>
    <w:p>
      <w:pPr>
        <w:pStyle w:val="Standard"/>
        <w:spacing w:lineRule="auto" w:line="36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защите сохраняемых объектов капитального строительства от возможного негативного воздействия в связи с реконструкцией линейных объектов должны быть предусмотрены на дальнейших стадиях разработки рабочего проекта для реконструкции линейного объекта.</w:t>
      </w:r>
    </w:p>
    <w:p>
      <w:pPr>
        <w:pStyle w:val="Normal"/>
        <w:widowControl/>
        <w:tabs>
          <w:tab w:val="left" w:pos="729" w:leader="none"/>
          <w:tab w:val="left" w:pos="1459" w:leader="none"/>
          <w:tab w:val="left" w:pos="1530" w:leader="none"/>
        </w:tabs>
        <w:suppressAutoHyphens w:val="false"/>
        <w:spacing w:lineRule="auto" w:line="360" w:before="0" w:after="0"/>
        <w:ind w:firstLine="567"/>
        <w:rPr>
          <w:rFonts w:ascii="Times New Roman" w:hAnsi="Times New Roman" w:cs="Times New Roman" w:asciiTheme="minorHAnsi" w:cstheme="minorHAnsi" w:hAnsiTheme="minorHAnsi"/>
          <w:sz w:val="28"/>
          <w:szCs w:val="28"/>
          <w:lang w:bidi="ar-SA"/>
        </w:rPr>
      </w:pPr>
      <w:bookmarkStart w:id="9" w:name="_Hlk72404305"/>
      <w:bookmarkStart w:id="10" w:name="_Hlk95136687"/>
      <w:bookmarkEnd w:id="9"/>
      <w:bookmarkEnd w:id="10"/>
      <w:r>
        <w:rPr>
          <w:rFonts w:cs="Times New Roman" w:cstheme="minorHAnsi"/>
          <w:sz w:val="28"/>
          <w:szCs w:val="28"/>
        </w:rPr>
        <w:t>При пересечении реконструируемого линейного объекта существующими сетями инженерно-технического обеспечения, расстояния по вертикали и горизонтали необходимо выдержать в соответствии с требованиями СП 42.13330.2016 «Градостроительство. Планировка и застройка городских и сельских поселений».</w:t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11" w:name="_Hlk95136687"/>
      <w:bookmarkStart w:id="12" w:name="_Toc95125526"/>
      <w:bookmarkEnd w:id="11"/>
      <w:bookmarkEnd w:id="12"/>
      <w:r>
        <w:rPr>
          <w:rFonts w:cs="Times New Roman" w:ascii="Times New Roman" w:hAnsi="Times New Roman"/>
          <w:caps w:val="false"/>
          <w:smallCaps w:val="false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</w:t>
      </w:r>
    </w:p>
    <w:p>
      <w:pPr>
        <w:pStyle w:val="Normal"/>
        <w:widowControl/>
        <w:suppressAutoHyphens w:val="false"/>
        <w:spacing w:lineRule="auto" w:line="360" w:before="0" w:after="0"/>
        <w:ind w:firstLine="709"/>
        <w:rPr/>
      </w:pPr>
      <w:bookmarkStart w:id="13" w:name="_Hlk93930167"/>
      <w:bookmarkEnd w:id="13"/>
      <w:r>
        <w:rPr>
          <w:rFonts w:cs="Times New Roman" w:cstheme="minorHAnsi"/>
          <w:sz w:val="28"/>
          <w:szCs w:val="28"/>
        </w:rPr>
        <w:t xml:space="preserve">На момент разработки настоящей документации проектируемая территория находится в границах зоны действия ограничений по условиям охраны объектов культурного наследия. Объекты культурного наследия, попадающие в границы разработки настоящего проекта планировки, не попадают в границы зон планируемого размещения линейных объектов. </w:t>
      </w:r>
    </w:p>
    <w:p>
      <w:pPr>
        <w:pStyle w:val="Normal"/>
        <w:widowControl/>
        <w:suppressAutoHyphens w:val="false"/>
        <w:spacing w:lineRule="auto" w:line="360" w:before="0" w:after="0"/>
        <w:ind w:firstLine="709"/>
        <w:rPr/>
      </w:pPr>
      <w:r>
        <w:rPr>
          <w:rFonts w:cs="Times New Roman" w:cstheme="minorHAnsi"/>
          <w:sz w:val="28"/>
          <w:szCs w:val="28"/>
        </w:rPr>
        <w:t xml:space="preserve">При этом, границы зоны планируемого размещения линейного объекта попадают в охранную зону и зону охраны природных ландшафтов ОКН регионального значения «усадьба Яковлева И.Я. (1918-1921гг.- картинная галерея Догадина П.М.), </w:t>
      </w:r>
      <w:r>
        <w:rPr>
          <w:rFonts w:cs="Times New Roman" w:cstheme="minorHAnsi"/>
          <w:sz w:val="28"/>
          <w:szCs w:val="28"/>
        </w:rPr>
        <w:t xml:space="preserve">установленных согласно  распоряжению Правительства АО от 16.08.2021 №278-Пр. </w:t>
      </w:r>
      <w:r>
        <w:rPr>
          <w:rFonts w:cs="Times New Roman" w:cstheme="minorHAnsi"/>
          <w:sz w:val="28"/>
          <w:szCs w:val="28"/>
        </w:rPr>
        <w:t xml:space="preserve">(реестровый номер территории ОКН 30:12-8.25). </w:t>
      </w:r>
    </w:p>
    <w:p>
      <w:pPr>
        <w:pStyle w:val="Normal"/>
        <w:widowControl/>
        <w:suppressAutoHyphens w:val="false"/>
        <w:spacing w:lineRule="auto" w:line="360" w:before="0" w:after="0"/>
        <w:ind w:firstLine="709"/>
        <w:rPr/>
      </w:pPr>
      <w:r>
        <w:rPr>
          <w:rFonts w:cs="Times New Roman" w:cstheme="minorHAnsi"/>
          <w:sz w:val="28"/>
          <w:szCs w:val="28"/>
        </w:rPr>
        <w:t xml:space="preserve">В </w:t>
      </w:r>
      <w:r>
        <w:rPr>
          <w:rFonts w:cs="Times New Roman" w:cstheme="minorHAnsi"/>
          <w:sz w:val="28"/>
          <w:szCs w:val="28"/>
        </w:rPr>
        <w:t>охранной зоне ОКН  разрешается: подземная прокладка новых , ремонт и реконструкция существующих подземных инженерных коммуникаций с последующей рекультивацией нарушенных земель. Запрещается: применение при проведении земляных, землеустроительных, мелиоративных, хозяйственных и иных работ технологий, оказывающих динамические воздействия на ОКН и прилегающие к ним территории.</w:t>
      </w:r>
    </w:p>
    <w:p>
      <w:pPr>
        <w:pStyle w:val="Normal"/>
        <w:widowControl/>
        <w:suppressAutoHyphens w:val="false"/>
        <w:spacing w:lineRule="auto" w:line="360" w:before="0" w:after="0"/>
        <w:ind w:firstLine="709"/>
        <w:rPr/>
      </w:pPr>
      <w:r>
        <w:rPr>
          <w:rFonts w:cs="Times New Roman" w:cstheme="minorHAnsi"/>
          <w:sz w:val="28"/>
          <w:szCs w:val="28"/>
        </w:rPr>
        <w:t xml:space="preserve">В Зоне охраны природных ландшафтов  разрешается: прокладка подземных инженерных коммуникаций, размещение объектов инженерной инфраструктуры с последующей рекультивацией нарушенных земель. </w:t>
      </w:r>
    </w:p>
    <w:p>
      <w:pPr>
        <w:pStyle w:val="Normal"/>
        <w:widowControl/>
        <w:suppressAutoHyphens w:val="false"/>
        <w:spacing w:lineRule="auto" w:line="360" w:before="0" w:after="0"/>
        <w:ind w:firstLine="709"/>
        <w:rPr/>
      </w:pPr>
      <w:r>
        <w:rPr>
          <w:rFonts w:cs="Times New Roman" w:cstheme="minorHAnsi"/>
          <w:sz w:val="28"/>
          <w:szCs w:val="28"/>
        </w:rPr>
        <w:t>М</w:t>
      </w:r>
      <w:r>
        <w:rPr>
          <w:rFonts w:cs="Times New Roman" w:cstheme="minorHAnsi"/>
          <w:sz w:val="28"/>
          <w:szCs w:val="28"/>
        </w:rPr>
        <w:t>ероприяти</w:t>
      </w:r>
      <w:r>
        <w:rPr>
          <w:rFonts w:cs="Times New Roman" w:cstheme="minorHAnsi"/>
          <w:sz w:val="28"/>
          <w:szCs w:val="28"/>
        </w:rPr>
        <w:t>я</w:t>
      </w:r>
      <w:r>
        <w:rPr>
          <w:rFonts w:cs="Times New Roman" w:cstheme="minorHAnsi"/>
          <w:sz w:val="28"/>
          <w:szCs w:val="28"/>
        </w:rPr>
        <w:t xml:space="preserve"> по сохранению объектов культурного наследия на территориях планируемого размещения линейных объектов вести в соответствии со ст. 45.1 Федерального закона от 25.06.2002 № 73-ФЗ «Об объектах культурного наследия (памятниках истории и культуры) народов Российской Федерации (с изменениями и дополнениями). </w:t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14" w:name="_Hlk93930167"/>
      <w:bookmarkStart w:id="15" w:name="_Toc95125527"/>
      <w:bookmarkEnd w:id="14"/>
      <w:bookmarkEnd w:id="15"/>
      <w:r>
        <w:rPr>
          <w:rFonts w:cs="Times New Roman" w:ascii="Times New Roman" w:hAnsi="Times New Roman"/>
          <w:caps w:val="false"/>
          <w:smallCaps w:val="false"/>
        </w:rPr>
        <w:t>ИНФОРМАЦИЯ О НЕОБХОДИМОСТИ ОСУЩЕСТВЛЕНИЯ МЕРОПРИЯТИЙ ПО ОХРАНЕ ОКРУЖАЮЩЕЙ СРЕДЫ</w:t>
      </w:r>
    </w:p>
    <w:p>
      <w:pPr>
        <w:pStyle w:val="Textbody"/>
        <w:spacing w:lineRule="auto" w:line="360"/>
        <w:rPr>
          <w:sz w:val="28"/>
          <w:szCs w:val="28"/>
        </w:rPr>
      </w:pPr>
      <w:bookmarkStart w:id="16" w:name="_Hlk95137035"/>
      <w:r>
        <w:rPr>
          <w:sz w:val="28"/>
          <w:szCs w:val="28"/>
        </w:rPr>
        <w:t>Границы зон планируемого размещения линейных объектов под реконструируемый объект (дюкерный переход сети водопровода, диаметр – не менее 1200 мм) проходят по территории водоохранной зоны водного объекта – река Кутум. Согласно п. 16 ст. 65 Водного Кодекса в границах водоохранных зон допускаются проектирование,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>
      <w:pPr>
        <w:pStyle w:val="Standard"/>
        <w:spacing w:lineRule="auto" w:line="360"/>
        <w:ind w:firstLine="426"/>
        <w:jc w:val="both"/>
        <w:rPr>
          <w:rFonts w:ascii="Times New Roman" w:hAnsi="Times New Roman" w:cs="Times New Roman" w:asciiTheme="minorHAnsi" w:cstheme="minorHAnsi" w:hAnsiTheme="minorHAnsi"/>
          <w:sz w:val="28"/>
          <w:szCs w:val="28"/>
        </w:rPr>
      </w:pPr>
      <w:r>
        <w:rPr>
          <w:rFonts w:cs="Times New Roman" w:cstheme="minorHAnsi"/>
          <w:sz w:val="28"/>
          <w:szCs w:val="28"/>
        </w:rPr>
        <w:t xml:space="preserve">Мероприятия по охране окружающей среды необходимо разработать на дальнейших стадиях проектирования, согласно: </w:t>
      </w:r>
    </w:p>
    <w:p>
      <w:pPr>
        <w:pStyle w:val="Standard"/>
        <w:spacing w:lineRule="auto" w:line="360"/>
        <w:ind w:firstLine="426"/>
        <w:jc w:val="both"/>
        <w:rPr>
          <w:sz w:val="30"/>
          <w:szCs w:val="30"/>
          <w:highlight w:val="white"/>
        </w:rPr>
      </w:pPr>
      <w:r>
        <w:rPr>
          <w:rFonts w:cs="Times New Roman" w:cstheme="minorHAnsi"/>
          <w:sz w:val="28"/>
          <w:szCs w:val="28"/>
        </w:rPr>
        <w:t xml:space="preserve">- </w:t>
      </w:r>
      <w:r>
        <w:rPr>
          <w:rFonts w:cs="Times New Roman" w:cstheme="minorHAnsi"/>
          <w:sz w:val="28"/>
          <w:szCs w:val="28"/>
          <w:shd w:fill="FFFFFF" w:val="clear"/>
        </w:rPr>
        <w:t>Постановлению Правительства РФ от 16.02.2008 N 87 «</w:t>
      </w:r>
      <w:r>
        <w:rPr>
          <w:rFonts w:cs="Times New Roman" w:cstheme="minorHAnsi"/>
          <w:sz w:val="28"/>
          <w:szCs w:val="28"/>
        </w:rPr>
        <w:t>О составе разделов проектной документации и требованиях к их содержанию» (с изменениями на 1 декабря 2021 года)</w:t>
      </w:r>
      <w:r>
        <w:rPr>
          <w:sz w:val="28"/>
          <w:szCs w:val="28"/>
        </w:rPr>
        <w:t xml:space="preserve">, часть 3, </w:t>
      </w:r>
      <w:r>
        <w:rPr>
          <w:sz w:val="30"/>
          <w:szCs w:val="30"/>
          <w:shd w:fill="FFFFFF" w:val="clear"/>
        </w:rPr>
        <w:t>раздел 7  «Мероприятия по охране окружающей среды»;</w:t>
      </w:r>
    </w:p>
    <w:p>
      <w:pPr>
        <w:pStyle w:val="Standard"/>
        <w:spacing w:lineRule="auto" w:line="36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Требованиям Федерального закона "Об охране окружающей среды" N7-ФЗ от 10.01.2002 г. (с изменениями на 30 декабря 2021 года);</w:t>
      </w:r>
    </w:p>
    <w:p>
      <w:pPr>
        <w:pStyle w:val="Standard"/>
        <w:spacing w:lineRule="auto" w:line="360"/>
        <w:ind w:firstLine="426"/>
        <w:jc w:val="both"/>
        <w:rPr>
          <w:rFonts w:ascii="Times New Roman" w:hAnsi="Times New Roman" w:cs="Times New Roman" w:asciiTheme="minorHAnsi" w:cstheme="minorHAnsi" w:hAnsiTheme="minorHAnsi"/>
          <w:sz w:val="28"/>
          <w:szCs w:val="28"/>
          <w:highlight w:val="white"/>
        </w:rPr>
      </w:pPr>
      <w:r>
        <w:rPr>
          <w:sz w:val="28"/>
          <w:szCs w:val="28"/>
        </w:rPr>
        <w:t xml:space="preserve">- Требованиям Федерального закона "О санитарно-эпидемиологическом благополучии населения" N52-ФЗ от 30.03.1999 г. </w:t>
      </w:r>
      <w:r>
        <w:rPr>
          <w:rFonts w:cs="Times New Roman" w:cstheme="minorHAnsi"/>
          <w:sz w:val="28"/>
          <w:szCs w:val="28"/>
        </w:rPr>
        <w:t>(</w:t>
      </w:r>
      <w:r>
        <w:rPr>
          <w:rFonts w:cs="Times New Roman" w:cstheme="minorHAnsi"/>
          <w:sz w:val="28"/>
          <w:szCs w:val="28"/>
          <w:shd w:fill="FFFFFF" w:val="clear"/>
        </w:rPr>
        <w:t>с изменениями на 2 июля 2021 года, в редакции, действующей с 1 января 2022 года);</w:t>
      </w:r>
    </w:p>
    <w:p>
      <w:pPr>
        <w:pStyle w:val="Standard"/>
        <w:spacing w:lineRule="auto" w:line="36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Требованиям Водного Кодекса Российской Федерации (новая редакция);</w:t>
      </w:r>
    </w:p>
    <w:p>
      <w:pPr>
        <w:pStyle w:val="Standard"/>
        <w:spacing w:lineRule="auto" w:line="36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-иных действующих нормативов и регламентов.</w:t>
      </w:r>
    </w:p>
    <w:p>
      <w:pPr>
        <w:pStyle w:val="Standard"/>
        <w:spacing w:lineRule="auto" w:line="36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Перечень мероприятий (необходимых на дальнейших стадиях проектирования) по охране окружающей среды, включает в себя: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а) результаты оценки воздействия на окружающую среду;</w:t>
      </w:r>
    </w:p>
    <w:p>
      <w:pPr>
        <w:pStyle w:val="Normal"/>
        <w:widowControl/>
        <w:suppressAutoHyphens w:val="false"/>
        <w:spacing w:lineRule="auto" w:line="360" w:before="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охране атмосферного воздуха;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охране и рациональному использованию земельных ресурсов и почвенного покрова;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</w:p>
    <w:p>
      <w:pPr>
        <w:pStyle w:val="Normal"/>
        <w:widowControl/>
        <w:suppressAutoHyphens w:val="false"/>
        <w:spacing w:lineRule="auto" w:line="360" w:before="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рациональному использованию общераспространенных полезных ископаемых, используемых при строительстве;</w:t>
      </w:r>
    </w:p>
    <w:p>
      <w:pPr>
        <w:pStyle w:val="Normal"/>
        <w:widowControl/>
        <w:suppressAutoHyphens w:val="false"/>
        <w:spacing w:lineRule="auto" w:line="360" w:before="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сбору, использованию, обезвреживанию, транспортировке и размещению опасных отходов;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охране недр и континентального шельфа Российской Федерации;</w:t>
      </w:r>
    </w:p>
    <w:p>
      <w:pPr>
        <w:pStyle w:val="Normal"/>
        <w:widowControl/>
        <w:suppressAutoHyphens w:val="false"/>
        <w:spacing w:lineRule="auto" w:line="360" w:before="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охране растительного и животного мира, в том числе: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мероприятия по сохранению среды обитания животных, путей их миграции, доступа в нерестилища рыб;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сведения о местах хранения отвалов растительного грунта, а также местонахождении карьеров, резервов грунта, кавальеров;</w:t>
      </w:r>
    </w:p>
    <w:p>
      <w:pPr>
        <w:pStyle w:val="Normal"/>
        <w:widowControl/>
        <w:suppressAutoHyphens w:val="false"/>
        <w:spacing w:lineRule="auto" w:line="360" w:before="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программу специальных наблюдений за линейным объектом на участках, подверженных опасным природным воздействиям;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>
      <w:pPr>
        <w:pStyle w:val="Normal"/>
        <w:widowControl/>
        <w:shd w:val="clear" w:color="auto" w:fill="FFFFFF"/>
        <w:suppressAutoHyphens w:val="false"/>
        <w:spacing w:lineRule="auto" w:line="360" w:before="210" w:after="0"/>
        <w:ind w:firstLine="426"/>
        <w:rPr>
          <w:rFonts w:eastAsia="Times New Roman" w:cs="Times New Roman"/>
          <w:sz w:val="28"/>
          <w:szCs w:val="28"/>
          <w:lang w:eastAsia="ru-RU" w:bidi="ar-SA"/>
        </w:rPr>
      </w:pPr>
      <w:bookmarkStart w:id="17" w:name="_Hlk95137035"/>
      <w:bookmarkEnd w:id="17"/>
      <w:r>
        <w:rPr>
          <w:rFonts w:eastAsia="Times New Roman" w:cs="Times New Roman"/>
          <w:sz w:val="28"/>
          <w:szCs w:val="28"/>
          <w:lang w:eastAsia="ru-RU" w:bidi="ar-SA"/>
        </w:rPr>
        <w:t>в) перечень и расчет затрат на реализацию природоохранных мероприятий и компенсационных выплат.</w:t>
      </w:r>
    </w:p>
    <w:p>
      <w:pPr>
        <w:pStyle w:val="1"/>
        <w:numPr>
          <w:ilvl w:val="0"/>
          <w:numId w:val="2"/>
        </w:numPr>
        <w:spacing w:lineRule="auto" w:line="360"/>
        <w:ind w:left="0" w:hanging="0"/>
        <w:jc w:val="center"/>
        <w:rPr>
          <w:rFonts w:ascii="Times New Roman" w:hAnsi="Times New Roman" w:cs="Times New Roman"/>
          <w:caps w:val="false"/>
          <w:smallCaps w:val="false"/>
        </w:rPr>
      </w:pPr>
      <w:bookmarkStart w:id="18" w:name="_Toc95125528"/>
      <w:bookmarkEnd w:id="18"/>
      <w:r>
        <w:rPr>
          <w:rFonts w:cs="Times New Roman" w:ascii="Times New Roman" w:hAnsi="Times New Roman"/>
          <w:caps w:val="false"/>
          <w:smallCaps w:val="false"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>
      <w:pPr>
        <w:pStyle w:val="TableParagraph"/>
        <w:spacing w:lineRule="auto" w:line="360" w:before="2" w:after="100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Определение зон действия основных поражающих факторов при чрезвычайных ситуациях природного и техногенного характера,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 </w:t>
      </w:r>
    </w:p>
    <w:p>
      <w:pPr>
        <w:pStyle w:val="TableParagraph"/>
        <w:spacing w:lineRule="auto" w:line="360" w:before="2" w:after="100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>
      <w:pPr>
        <w:pStyle w:val="TableParagraph"/>
        <w:spacing w:lineRule="auto" w:line="360" w:before="2" w:after="100"/>
        <w:ind w:right="187" w:firstLine="709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г., реконструируемый объект (дюкерный переход сети водоснабжения) является не категорируемым по гражданской обороне. По группе ГО - г. Астрахань (</w:t>
      </w:r>
      <w:r>
        <w:rPr>
          <w:sz w:val="28"/>
          <w:szCs w:val="28"/>
        </w:rPr>
        <w:t>I</w:t>
      </w:r>
      <w:r>
        <w:rPr>
          <w:sz w:val="28"/>
          <w:szCs w:val="28"/>
          <w:lang w:val="ru-RU"/>
        </w:rPr>
        <w:t xml:space="preserve"> группа); по категории ГО объекты, в границах проектирование, отсутствуют.</w:t>
      </w:r>
      <w:r>
        <w:rPr>
          <w:sz w:val="28"/>
          <w:szCs w:val="28"/>
          <w:lang w:val="ru-RU" w:eastAsia="zh-CN"/>
        </w:rPr>
        <w:t xml:space="preserve"> </w:t>
      </w:r>
      <w:bookmarkStart w:id="19" w:name="_GoBack"/>
      <w:bookmarkEnd w:id="19"/>
      <w:r>
        <w:rPr>
          <w:sz w:val="28"/>
          <w:szCs w:val="28"/>
          <w:lang w:val="ru-RU" w:eastAsia="zh-CN"/>
        </w:rPr>
        <w:t xml:space="preserve">Согласно ст. 48.1 Градостроительного Кодекса РФ, необходимость разработки мероприятий по ГО и ЧС в отношении реконструируемой сети </w:t>
      </w:r>
      <w:r>
        <w:rPr>
          <w:sz w:val="28"/>
          <w:szCs w:val="28"/>
          <w:lang w:val="ru-RU"/>
        </w:rPr>
        <w:t>(дюкерный переход сети водоснабжения)</w:t>
      </w:r>
      <w:bookmarkStart w:id="20" w:name="_Hlk95137187"/>
      <w:bookmarkEnd w:id="20"/>
      <w:r>
        <w:rPr>
          <w:sz w:val="28"/>
          <w:szCs w:val="28"/>
          <w:lang w:val="ru-RU" w:eastAsia="zh-CN"/>
        </w:rPr>
        <w:t xml:space="preserve"> отсутствует.</w:t>
      </w:r>
    </w:p>
    <w:p>
      <w:pPr>
        <w:pStyle w:val="Standard"/>
        <w:pBdr/>
        <w:shd w:val="solid" w:color="FFFFFF" w:fill="auto"/>
        <w:spacing w:lineRule="auto" w:line="360" w:before="100" w:after="100"/>
        <w:ind w:left="57" w:firstLine="68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spacing w:lineRule="auto" w: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</w:p>
    <w:p>
      <w:pPr>
        <w:pStyle w:val="Standard"/>
        <w:pBdr/>
        <w:shd w:val="solid" w:color="FFFFFF" w:fill="auto"/>
        <w:spacing w:lineRule="auto" w:line="360" w:before="100" w:after="100"/>
        <w:ind w:left="57" w:firstLine="680"/>
        <w:jc w:val="both"/>
        <w:rPr/>
      </w:pPr>
      <w:r>
        <w:rPr/>
      </w:r>
    </w:p>
    <w:sectPr>
      <w:type w:val="nextPage"/>
      <w:pgSz w:w="11906" w:h="16838"/>
      <w:pgMar w:left="1418" w:right="674" w:header="0" w:top="300" w:footer="0" w:bottom="381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pStyle w:val="2"/>
      <w:numFmt w:val="decimal"/>
      <w:lvlText w:val="%1.%2."/>
      <w:lvlJc w:val="left"/>
      <w:pPr>
        <w:ind w:left="284" w:hanging="0"/>
      </w:pPr>
      <w:rPr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68" w:hanging="0"/>
      </w:pPr>
    </w:lvl>
    <w:lvl w:ilvl="3">
      <w:start w:val="1"/>
      <w:pStyle w:val="4"/>
      <w:numFmt w:val="decimal"/>
      <w:lvlText w:val="%1.%2.%3.%4."/>
      <w:lvlJc w:val="left"/>
      <w:pPr>
        <w:ind w:left="568" w:hanging="0"/>
      </w:pPr>
    </w:lvl>
    <w:lvl w:ilvl="4">
      <w:start w:val="1"/>
      <w:pStyle w:val="5"/>
      <w:numFmt w:val="decimal"/>
      <w:lvlText w:val="%1.%2.%3.%4.%5."/>
      <w:lvlJc w:val="left"/>
      <w:pPr>
        <w:ind w:left="568" w:hanging="0"/>
      </w:pPr>
    </w:lvl>
    <w:lvl w:ilvl="5">
      <w:start w:val="1"/>
      <w:pStyle w:val="6"/>
      <w:numFmt w:val="decimal"/>
      <w:lvlText w:val="%1.%2.%3.%4.%5.%6."/>
      <w:lvlJc w:val="left"/>
      <w:pPr>
        <w:ind w:left="568" w:hanging="0"/>
      </w:pPr>
    </w:lvl>
    <w:lvl w:ilvl="6">
      <w:start w:val="1"/>
      <w:pStyle w:val="7"/>
      <w:numFmt w:val="decimal"/>
      <w:lvlText w:val="%1.%2.%3.%4.%5.%6.%7."/>
      <w:lvlJc w:val="left"/>
      <w:pPr>
        <w:ind w:left="568" w:hanging="0"/>
      </w:pPr>
    </w:lvl>
    <w:lvl w:ilvl="7">
      <w:start w:val="1"/>
      <w:pStyle w:val="8"/>
      <w:numFmt w:val="decimal"/>
      <w:lvlText w:val="%1.%2.%3.%4.%5.%6.%7.%8."/>
      <w:lvlJc w:val="left"/>
      <w:pPr>
        <w:ind w:left="568" w:hanging="0"/>
      </w:pPr>
    </w:lvl>
    <w:lvl w:ilvl="8">
      <w:start w:val="1"/>
      <w:pStyle w:val="9"/>
      <w:numFmt w:val="decimal"/>
      <w:lvlText w:val="%1.%2.%3.%4.%5.%6.%7.%8.%9."/>
      <w:lvlJc w:val="left"/>
      <w:pPr>
        <w:ind w:left="568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069" w:hanging="360"/>
      </w:pPr>
      <w:rPr>
        <w:sz w:val="28"/>
        <w:i w:val="false"/>
        <w:b/>
        <w:iCs w:val="false"/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00"/>
      <w:ind w:firstLine="284"/>
      <w:jc w:val="left"/>
    </w:pPr>
    <w:rPr>
      <w:rFonts w:ascii="Times New Roman" w:hAnsi="Times New Roman" w:eastAsia="SimSun" w:cs="Mangal"/>
      <w:color w:val="auto"/>
      <w:sz w:val="24"/>
      <w:szCs w:val="24"/>
      <w:lang w:val="ru-RU" w:eastAsia="zh-CN" w:bidi="hi-IN"/>
    </w:rPr>
  </w:style>
  <w:style w:type="paragraph" w:styleId="1">
    <w:name w:val="Heading 1"/>
    <w:qFormat/>
    <w:pPr>
      <w:keepNext/>
      <w:widowControl w:val="false"/>
      <w:numPr>
        <w:ilvl w:val="0"/>
        <w:numId w:val="1"/>
      </w:numPr>
      <w:spacing w:before="240" w:after="120"/>
      <w:outlineLvl w:val="0"/>
      <w:outlineLvl w:val="0"/>
    </w:pPr>
    <w:rPr>
      <w:rFonts w:ascii="Arial" w:hAnsi="Arial" w:eastAsia="Arial" w:cs="Arial"/>
      <w:b/>
      <w:caps/>
      <w:color w:val="auto"/>
      <w:sz w:val="28"/>
      <w:szCs w:val="24"/>
      <w:lang w:val="ru-RU" w:eastAsia="zh-CN" w:bidi="hi-IN"/>
    </w:rPr>
  </w:style>
  <w:style w:type="paragraph" w:styleId="2">
    <w:name w:val="Heading 2"/>
    <w:qFormat/>
    <w:pPr>
      <w:keepNext/>
      <w:widowControl w:val="false"/>
      <w:numPr>
        <w:ilvl w:val="1"/>
        <w:numId w:val="1"/>
      </w:numPr>
      <w:spacing w:before="240" w:after="80"/>
      <w:ind w:left="151" w:firstLine="133"/>
      <w:outlineLvl w:val="1"/>
      <w:outlineLvl w:val="1"/>
    </w:pPr>
    <w:rPr>
      <w:rFonts w:ascii="Arial" w:hAnsi="Arial" w:eastAsia="Arial" w:cs="Arial"/>
      <w:b/>
      <w:i/>
      <w:color w:val="auto"/>
      <w:sz w:val="26"/>
      <w:szCs w:val="24"/>
      <w:lang w:val="ru-RU" w:eastAsia="zh-CN" w:bidi="hi-IN"/>
    </w:rPr>
  </w:style>
  <w:style w:type="paragraph" w:styleId="3">
    <w:name w:val="Heading 3"/>
    <w:link w:val="30"/>
    <w:qFormat/>
    <w:pPr>
      <w:keepNext/>
      <w:widowControl w:val="false"/>
      <w:numPr>
        <w:ilvl w:val="2"/>
        <w:numId w:val="1"/>
      </w:numPr>
      <w:spacing w:before="240" w:after="60"/>
      <w:ind w:left="579" w:hanging="11"/>
      <w:outlineLvl w:val="2"/>
      <w:outlineLvl w:val="2"/>
    </w:pPr>
    <w:rPr>
      <w:rFonts w:ascii="Arial" w:hAnsi="Arial" w:eastAsia="Arial" w:cs="Arial"/>
      <w:b/>
      <w:color w:val="auto"/>
      <w:sz w:val="24"/>
      <w:szCs w:val="24"/>
      <w:lang w:val="ru-RU" w:eastAsia="zh-CN" w:bidi="hi-IN"/>
    </w:rPr>
  </w:style>
  <w:style w:type="paragraph" w:styleId="4">
    <w:name w:val="Heading 4"/>
    <w:qFormat/>
    <w:pPr>
      <w:keepNext/>
      <w:widowControl w:val="false"/>
      <w:numPr>
        <w:ilvl w:val="3"/>
        <w:numId w:val="1"/>
      </w:numPr>
      <w:spacing w:before="240" w:after="60"/>
      <w:ind w:left="723" w:hanging="155"/>
      <w:outlineLvl w:val="3"/>
      <w:outlineLvl w:val="3"/>
    </w:pPr>
    <w:rPr>
      <w:rFonts w:ascii="Arial" w:hAnsi="Arial" w:eastAsia="Arial" w:cs="Arial"/>
      <w:b/>
      <w:i/>
      <w:color w:val="auto"/>
      <w:sz w:val="24"/>
      <w:szCs w:val="24"/>
      <w:lang w:val="ru-RU" w:eastAsia="zh-CN" w:bidi="hi-IN"/>
    </w:rPr>
  </w:style>
  <w:style w:type="paragraph" w:styleId="5">
    <w:name w:val="Heading 5"/>
    <w:qFormat/>
    <w:pPr>
      <w:keepNext/>
      <w:widowControl w:val="false"/>
      <w:numPr>
        <w:ilvl w:val="4"/>
        <w:numId w:val="1"/>
      </w:numPr>
      <w:spacing w:before="240" w:after="40"/>
      <w:ind w:left="867" w:hanging="299"/>
      <w:outlineLvl w:val="4"/>
      <w:outlineLvl w:val="4"/>
    </w:pPr>
    <w:rPr>
      <w:rFonts w:ascii="Arial" w:hAnsi="Arial" w:eastAsia="Arial" w:cs="Arial"/>
      <w:b/>
      <w:color w:val="auto"/>
      <w:sz w:val="24"/>
      <w:szCs w:val="24"/>
      <w:lang w:val="ru-RU" w:eastAsia="zh-CN" w:bidi="hi-IN"/>
    </w:rPr>
  </w:style>
  <w:style w:type="paragraph" w:styleId="6">
    <w:name w:val="Heading 6"/>
    <w:qFormat/>
    <w:pPr>
      <w:widowControl w:val="false"/>
      <w:numPr>
        <w:ilvl w:val="5"/>
        <w:numId w:val="1"/>
      </w:numPr>
      <w:spacing w:before="200" w:after="40"/>
      <w:ind w:left="1011" w:hanging="443"/>
      <w:outlineLvl w:val="5"/>
      <w:outlineLvl w:val="5"/>
    </w:pPr>
    <w:rPr>
      <w:rFonts w:ascii="Arial" w:hAnsi="Arial" w:eastAsia="Arial" w:cs="Arial"/>
      <w:b/>
      <w:i/>
      <w:color w:val="auto"/>
      <w:sz w:val="24"/>
      <w:szCs w:val="24"/>
      <w:lang w:val="ru-RU" w:eastAsia="zh-CN" w:bidi="hi-IN"/>
    </w:rPr>
  </w:style>
  <w:style w:type="paragraph" w:styleId="7">
    <w:name w:val="Heading 7"/>
    <w:qFormat/>
    <w:pPr>
      <w:keepNext/>
      <w:widowControl w:val="false"/>
      <w:numPr>
        <w:ilvl w:val="6"/>
        <w:numId w:val="1"/>
      </w:numPr>
      <w:spacing w:before="200" w:after="40"/>
      <w:ind w:left="1155" w:hanging="587"/>
      <w:outlineLvl w:val="6"/>
      <w:outlineLvl w:val="6"/>
    </w:pPr>
    <w:rPr>
      <w:rFonts w:ascii="Arial" w:hAnsi="Arial" w:eastAsia="Arial" w:cs="Arial"/>
      <w:b/>
      <w:color w:val="auto"/>
      <w:sz w:val="20"/>
      <w:szCs w:val="24"/>
      <w:lang w:val="ru-RU" w:eastAsia="zh-CN" w:bidi="hi-IN"/>
    </w:rPr>
  </w:style>
  <w:style w:type="paragraph" w:styleId="8">
    <w:name w:val="Heading 8"/>
    <w:qFormat/>
    <w:pPr>
      <w:keepNext/>
      <w:widowControl w:val="false"/>
      <w:numPr>
        <w:ilvl w:val="7"/>
        <w:numId w:val="1"/>
      </w:numPr>
      <w:spacing w:before="200" w:after="40"/>
      <w:ind w:left="1299" w:hanging="731"/>
      <w:outlineLvl w:val="7"/>
      <w:outlineLvl w:val="7"/>
    </w:pPr>
    <w:rPr>
      <w:rFonts w:ascii="Arial" w:hAnsi="Arial" w:eastAsia="Arial" w:cs="Arial"/>
      <w:b/>
      <w:i/>
      <w:color w:val="auto"/>
      <w:sz w:val="20"/>
      <w:szCs w:val="24"/>
      <w:lang w:val="ru-RU" w:eastAsia="zh-CN" w:bidi="hi-IN"/>
    </w:rPr>
  </w:style>
  <w:style w:type="paragraph" w:styleId="9">
    <w:name w:val="Heading 9"/>
    <w:qFormat/>
    <w:pPr>
      <w:keepNext/>
      <w:widowControl w:val="false"/>
      <w:numPr>
        <w:ilvl w:val="8"/>
        <w:numId w:val="1"/>
      </w:numPr>
      <w:spacing w:before="200" w:after="40"/>
      <w:ind w:left="1443" w:hanging="875"/>
      <w:outlineLvl w:val="8"/>
      <w:outlineLvl w:val="8"/>
    </w:pPr>
    <w:rPr>
      <w:rFonts w:ascii="Arial" w:hAnsi="Arial" w:eastAsia="Arial" w:cs="Arial"/>
      <w:b/>
      <w:color w:val="auto"/>
      <w:sz w:val="18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qFormat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31"/>
      <w:sz w:val="26"/>
    </w:rPr>
  </w:style>
  <w:style w:type="character" w:styleId="61" w:customStyle="1">
    <w:name w:val="Знак Знак6"/>
    <w:qFormat/>
    <w:rPr>
      <w:spacing w:val="-31"/>
      <w:sz w:val="26"/>
    </w:rPr>
  </w:style>
  <w:style w:type="character" w:styleId="52" w:customStyle="1">
    <w:name w:val="Знак Знак5"/>
    <w:qFormat/>
    <w:rPr>
      <w:spacing w:val="-31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31"/>
      <w:sz w:val="26"/>
    </w:rPr>
  </w:style>
  <w:style w:type="character" w:styleId="32" w:customStyle="1">
    <w:name w:val="Знак Знак3"/>
    <w:qFormat/>
    <w:rPr>
      <w:spacing w:val="-31"/>
      <w:sz w:val="26"/>
    </w:rPr>
  </w:style>
  <w:style w:type="character" w:styleId="28" w:customStyle="1">
    <w:name w:val="Знак Знак2"/>
    <w:qFormat/>
    <w:rPr>
      <w:spacing w:val="-31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32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29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BulletSymbols" w:customStyle="1">
    <w:name w:val="Bullet Symbols"/>
    <w:qFormat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120" w:customStyle="1">
    <w:name w:val="Основной текст с отступом Знак1"/>
    <w:basedOn w:val="DefaultParagraphFont"/>
    <w:qFormat/>
    <w:rPr>
      <w:szCs w:val="21"/>
    </w:rPr>
  </w:style>
  <w:style w:type="character" w:styleId="Linenumber">
    <w:name w:val="line number"/>
    <w:basedOn w:val="DefaultParagraphFont"/>
    <w:uiPriority w:val="99"/>
    <w:qFormat/>
    <w:rsid w:val="00134614"/>
    <w:rPr/>
  </w:style>
  <w:style w:type="character" w:styleId="Style26" w:customStyle="1">
    <w:name w:val="Без интервала Знак"/>
    <w:basedOn w:val="DefaultParagraphFont"/>
    <w:link w:val="afffffc"/>
    <w:uiPriority w:val="1"/>
    <w:qFormat/>
    <w:rsid w:val="00185e80"/>
    <w:rPr>
      <w:rFonts w:ascii="Times New Roman" w:hAnsi="Times New Roman" w:eastAsia="SimSun" w:cs="Mangal" w:asciiTheme="minorHAnsi" w:cstheme="minorBidi" w:eastAsiaTheme="minorEastAsia" w:hAnsiTheme="minorHAnsi"/>
      <w:sz w:val="22"/>
      <w:szCs w:val="22"/>
      <w:lang w:eastAsia="ru-RU" w:bidi="ar-SA"/>
    </w:rPr>
  </w:style>
  <w:style w:type="character" w:styleId="Style27" w:customStyle="1">
    <w:name w:val="Нижний колонтитул Знак"/>
    <w:basedOn w:val="DefaultParagraphFont"/>
    <w:link w:val="af"/>
    <w:uiPriority w:val="99"/>
    <w:qFormat/>
    <w:rsid w:val="00185e80"/>
    <w:rPr>
      <w:sz w:val="18"/>
      <w:lang w:bidi="ar-SA"/>
    </w:rPr>
  </w:style>
  <w:style w:type="character" w:styleId="Style28" w:customStyle="1">
    <w:name w:val="Верхний колонтитул Знак"/>
    <w:basedOn w:val="DefaultParagraphFont"/>
    <w:link w:val="af1"/>
    <w:uiPriority w:val="99"/>
    <w:qFormat/>
    <w:rsid w:val="00b71500"/>
    <w:rPr>
      <w:sz w:val="18"/>
      <w:lang w:bidi="ar-SA"/>
    </w:rPr>
  </w:style>
  <w:style w:type="character" w:styleId="Style29">
    <w:name w:val="Интернет-ссылка"/>
    <w:basedOn w:val="DefaultParagraphFont"/>
    <w:uiPriority w:val="99"/>
    <w:unhideWhenUsed/>
    <w:rsid w:val="007d2175"/>
    <w:rPr>
      <w:color w:val="0000FF" w:themeColor="hyperlink"/>
      <w:u w:val="single"/>
    </w:rPr>
  </w:style>
  <w:style w:type="character" w:styleId="33" w:customStyle="1">
    <w:name w:val="Заголовок 3 Знак"/>
    <w:basedOn w:val="DefaultParagraphFont"/>
    <w:link w:val="3"/>
    <w:qFormat/>
    <w:rsid w:val="009b11e2"/>
    <w:rPr>
      <w:rFonts w:ascii="Arial" w:hAnsi="Arial" w:eastAsia="Arial" w:cs="Arial"/>
      <w:b/>
      <w:lang w:bidi="ar-SA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eastAsia="Arial" w:cs="Arial"/>
    </w:rPr>
  </w:style>
  <w:style w:type="character" w:styleId="ListLabel3">
    <w:name w:val="ListLabel 3"/>
    <w:qFormat/>
    <w:rPr>
      <w:color w:val="000000"/>
    </w:rPr>
  </w:style>
  <w:style w:type="character" w:styleId="ListLabel4">
    <w:name w:val="ListLabel 4"/>
    <w:qFormat/>
    <w:rPr>
      <w:color w:val="000000"/>
    </w:rPr>
  </w:style>
  <w:style w:type="character" w:styleId="ListLabel5">
    <w:name w:val="ListLabel 5"/>
    <w:qFormat/>
    <w:rPr>
      <w:rFonts w:eastAsia="Arial" w:cs="Arial"/>
    </w:rPr>
  </w:style>
  <w:style w:type="character" w:styleId="ListLabel6">
    <w:name w:val="ListLabel 6"/>
    <w:qFormat/>
    <w:rPr>
      <w:color w:val="000000"/>
    </w:rPr>
  </w:style>
  <w:style w:type="character" w:styleId="ListLabel7">
    <w:name w:val="ListLabel 7"/>
    <w:qFormat/>
    <w:rPr>
      <w:rFonts w:cs="Wingdings"/>
      <w:b w:val="false"/>
      <w:sz w:val="28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Wingdings"/>
      <w:b w:val="false"/>
      <w:sz w:val="28"/>
    </w:rPr>
  </w:style>
  <w:style w:type="character" w:styleId="ListLabel11">
    <w:name w:val="ListLabel 11"/>
    <w:qFormat/>
    <w:rPr>
      <w:rFonts w:cs="Wingdings"/>
      <w:b w:val="false"/>
      <w:sz w:val="28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eastAsia="Wingdings" w:cs="Wingdings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eastAsia="Wingdings" w:cs="Wingdings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eastAsia="Wingdings" w:cs="Wingdings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  <w:color w:val="000000"/>
      <w:sz w:val="28"/>
      <w:szCs w:val="28"/>
    </w:rPr>
  </w:style>
  <w:style w:type="character" w:styleId="ListLabel21">
    <w:name w:val="ListLabel 21"/>
    <w:qFormat/>
    <w:rPr>
      <w:rFonts w:cs="Symbol"/>
      <w:color w:val="000000"/>
      <w:sz w:val="28"/>
      <w:szCs w:val="28"/>
    </w:rPr>
  </w:style>
  <w:style w:type="character" w:styleId="ListLabel22">
    <w:name w:val="ListLabel 22"/>
    <w:qFormat/>
    <w:rPr>
      <w:rFonts w:cs="Symbol"/>
      <w:color w:val="000000"/>
      <w:sz w:val="28"/>
      <w:szCs w:val="28"/>
    </w:rPr>
  </w:style>
  <w:style w:type="character" w:styleId="ListLabel23">
    <w:name w:val="ListLabel 23"/>
    <w:qFormat/>
    <w:rPr>
      <w:rFonts w:cs="Symbol"/>
      <w:color w:val="000000"/>
      <w:sz w:val="28"/>
      <w:szCs w:val="28"/>
    </w:rPr>
  </w:style>
  <w:style w:type="character" w:styleId="ListLabel24">
    <w:name w:val="ListLabel 24"/>
    <w:qFormat/>
    <w:rPr>
      <w:rFonts w:cs="Symbol"/>
      <w:color w:val="000000"/>
      <w:sz w:val="28"/>
      <w:szCs w:val="28"/>
    </w:rPr>
  </w:style>
  <w:style w:type="character" w:styleId="ListLabel25">
    <w:name w:val="ListLabel 25"/>
    <w:qFormat/>
    <w:rPr>
      <w:rFonts w:cs="Symbol"/>
      <w:color w:val="000000"/>
      <w:sz w:val="28"/>
      <w:szCs w:val="28"/>
    </w:rPr>
  </w:style>
  <w:style w:type="character" w:styleId="ListLabel26">
    <w:name w:val="ListLabel 26"/>
    <w:qFormat/>
    <w:rPr>
      <w:rFonts w:cs="Symbol"/>
      <w:color w:val="000000"/>
      <w:sz w:val="28"/>
      <w:szCs w:val="28"/>
    </w:rPr>
  </w:style>
  <w:style w:type="character" w:styleId="ListLabel27">
    <w:name w:val="ListLabel 27"/>
    <w:qFormat/>
    <w:rPr>
      <w:rFonts w:cs="Symbol"/>
      <w:color w:val="000000"/>
      <w:sz w:val="28"/>
      <w:szCs w:val="28"/>
    </w:rPr>
  </w:style>
  <w:style w:type="character" w:styleId="ListLabel28">
    <w:name w:val="ListLabel 28"/>
    <w:qFormat/>
    <w:rPr>
      <w:rFonts w:cs="Symbol"/>
      <w:color w:val="000000"/>
      <w:sz w:val="28"/>
      <w:szCs w:val="28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  <w:color w:val="000000"/>
      <w:sz w:val="28"/>
      <w:szCs w:val="28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eastAsia="Arial" w:cs="Arial"/>
    </w:rPr>
  </w:style>
  <w:style w:type="character" w:styleId="ListLabel34">
    <w:name w:val="ListLabel 34"/>
    <w:qFormat/>
    <w:rPr>
      <w:color w:val="000000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Times New Roman"/>
      <w:b/>
      <w:i w:val="false"/>
      <w:iCs w:val="false"/>
      <w:sz w:val="28"/>
    </w:rPr>
  </w:style>
  <w:style w:type="character" w:styleId="ListLabel39">
    <w:name w:val="ListLabel 39"/>
    <w:qFormat/>
    <w:rPr>
      <w:i w:val="false"/>
    </w:rPr>
  </w:style>
  <w:style w:type="character" w:styleId="ListLabel40">
    <w:name w:val="ListLabel 40"/>
    <w:qFormat/>
    <w:rPr>
      <w:rFonts w:eastAsia="Arial" w:cs="Arial"/>
    </w:rPr>
  </w:style>
  <w:style w:type="character" w:styleId="ListLabel41">
    <w:name w:val="ListLabel 41"/>
    <w:qFormat/>
    <w:rPr>
      <w:color w:val="000000"/>
    </w:rPr>
  </w:style>
  <w:style w:type="character" w:styleId="ListLabel42">
    <w:name w:val="ListLabel 42"/>
    <w:qFormat/>
    <w:rPr>
      <w:rFonts w:eastAsia="Arial" w:cs="Arial"/>
    </w:rPr>
  </w:style>
  <w:style w:type="character" w:styleId="ListLabel43">
    <w:name w:val="ListLabel 43"/>
    <w:qFormat/>
    <w:rPr>
      <w:color w:val="000000"/>
    </w:rPr>
  </w:style>
  <w:style w:type="character" w:styleId="ListLabel44">
    <w:name w:val="ListLabel 44"/>
    <w:qFormat/>
    <w:rPr>
      <w:rFonts w:eastAsia="Arial" w:cs="Arial"/>
    </w:rPr>
  </w:style>
  <w:style w:type="character" w:styleId="ListLabel45">
    <w:name w:val="ListLabel 45"/>
    <w:qFormat/>
    <w:rPr>
      <w:color w:val="000000"/>
    </w:rPr>
  </w:style>
  <w:style w:type="character" w:styleId="ListLabel46">
    <w:name w:val="ListLabel 46"/>
    <w:qFormat/>
    <w:rPr>
      <w:rFonts w:eastAsia="Arial" w:cs="Arial"/>
    </w:rPr>
  </w:style>
  <w:style w:type="character" w:styleId="ListLabel47">
    <w:name w:val="ListLabel 47"/>
    <w:qFormat/>
    <w:rPr>
      <w:color w:val="000000"/>
    </w:rPr>
  </w:style>
  <w:style w:type="character" w:styleId="ListLabel48">
    <w:name w:val="ListLabel 48"/>
    <w:qFormat/>
    <w:rPr>
      <w:rFonts w:eastAsia="Arial" w:cs="Arial"/>
    </w:rPr>
  </w:style>
  <w:style w:type="character" w:styleId="ListLabel49">
    <w:name w:val="ListLabel 49"/>
    <w:qFormat/>
    <w:rPr>
      <w:color w:val="000000"/>
    </w:rPr>
  </w:style>
  <w:style w:type="character" w:styleId="ListLabel50">
    <w:name w:val="ListLabel 50"/>
    <w:qFormat/>
    <w:rPr>
      <w:rFonts w:eastAsia="Arial" w:cs="Arial"/>
    </w:rPr>
  </w:style>
  <w:style w:type="character" w:styleId="ListLabel51">
    <w:name w:val="ListLabel 51"/>
    <w:qFormat/>
    <w:rPr>
      <w:color w:val="000000"/>
    </w:rPr>
  </w:style>
  <w:style w:type="character" w:styleId="ListLabel52">
    <w:name w:val="ListLabel 52"/>
    <w:qFormat/>
    <w:rPr>
      <w:rFonts w:eastAsia="Arial" w:cs="Arial"/>
    </w:rPr>
  </w:style>
  <w:style w:type="character" w:styleId="ListLabel53">
    <w:name w:val="ListLabel 53"/>
    <w:qFormat/>
    <w:rPr>
      <w:color w:val="000000"/>
    </w:rPr>
  </w:style>
  <w:style w:type="character" w:styleId="ListLabel54">
    <w:name w:val="ListLabel 54"/>
    <w:qFormat/>
    <w:rPr>
      <w:rFonts w:eastAsia="Arial" w:cs="Arial"/>
    </w:rPr>
  </w:style>
  <w:style w:type="character" w:styleId="ListLabel55">
    <w:name w:val="ListLabel 55"/>
    <w:qFormat/>
    <w:rPr>
      <w:color w:val="000000"/>
    </w:rPr>
  </w:style>
  <w:style w:type="character" w:styleId="Style30">
    <w:name w:val="Символы концевой сноски"/>
    <w:qFormat/>
    <w:rPr/>
  </w:style>
  <w:style w:type="paragraph" w:styleId="Style31" w:customStyle="1">
    <w:name w:val="Заголовок"/>
    <w:basedOn w:val="1"/>
    <w:next w:val="Standard"/>
    <w:qFormat/>
    <w:pPr>
      <w:keepLines/>
      <w:numPr>
        <w:ilvl w:val="0"/>
        <w:numId w:val="0"/>
      </w:numPr>
      <w:pBdr>
        <w:bottom w:val="double" w:sz="72" w:space="15" w:color="000001"/>
      </w:pBdr>
      <w:spacing w:lineRule="auto" w:line="276" w:before="600" w:after="600"/>
      <w:jc w:val="center"/>
    </w:pPr>
    <w:rPr>
      <w:rFonts w:ascii="Standart Poster" w:hAnsi="Standart Poster" w:eastAsia="Standart Poster" w:cs="Standart Poster"/>
      <w:b w:val="false"/>
      <w:caps w:val="false"/>
      <w:smallCaps w:val="false"/>
      <w:sz w:val="72"/>
    </w:rPr>
  </w:style>
  <w:style w:type="paragraph" w:styleId="Style32">
    <w:name w:val="Body Text"/>
    <w:basedOn w:val="Normal"/>
    <w:qFormat/>
    <w:pPr>
      <w:widowControl/>
      <w:spacing w:before="0" w:after="0"/>
      <w:ind w:firstLine="709"/>
    </w:pPr>
    <w:rPr>
      <w:rFonts w:eastAsia="Times New Roman" w:cs="Times New Roman"/>
      <w:szCs w:val="20"/>
      <w:lang w:bidi="ar-SA"/>
    </w:rPr>
  </w:style>
  <w:style w:type="paragraph" w:styleId="Style33">
    <w:name w:val="List"/>
    <w:basedOn w:val="Standard"/>
    <w:qFormat/>
    <w:pPr>
      <w:ind w:left="360" w:hanging="360"/>
    </w:pPr>
    <w:rPr/>
  </w:style>
  <w:style w:type="paragraph" w:styleId="Style3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5" w:customStyle="1">
    <w:name w:val="Указатель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bidi w:val="0"/>
      <w:spacing w:before="0" w:after="0"/>
      <w:ind w:hanging="0"/>
      <w:jc w:val="left"/>
    </w:pPr>
    <w:rPr>
      <w:rFonts w:ascii="Times New Roman" w:hAnsi="Times New Roman" w:eastAsia="SimSun" w:cs="Mangal"/>
      <w:color w:val="auto"/>
      <w:sz w:val="24"/>
      <w:szCs w:val="24"/>
      <w:lang w:bidi="ar-SA" w:val="ru-RU" w:eastAsia="zh-CN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Style36">
    <w:name w:val="Signature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styleId="53" w:customStyle="1">
    <w:name w:val="Указатель5"/>
    <w:basedOn w:val="Standard"/>
    <w:qFormat/>
    <w:pPr>
      <w:suppressLineNumbers/>
    </w:pPr>
    <w:rPr/>
  </w:style>
  <w:style w:type="paragraph" w:styleId="210" w:customStyle="1">
    <w:name w:val="Название объекта2"/>
    <w:basedOn w:val="Standard"/>
    <w:qFormat/>
    <w:pPr>
      <w:ind w:firstLine="567"/>
      <w:jc w:val="center"/>
    </w:pPr>
    <w:rPr>
      <w:b/>
      <w:bCs/>
    </w:rPr>
  </w:style>
  <w:style w:type="paragraph" w:styleId="44" w:customStyle="1">
    <w:name w:val="Указатель4"/>
    <w:basedOn w:val="Standard"/>
    <w:qFormat/>
    <w:pPr>
      <w:suppressLineNumbers/>
    </w:pPr>
    <w:rPr/>
  </w:style>
  <w:style w:type="paragraph" w:styleId="34" w:customStyle="1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styleId="35" w:customStyle="1">
    <w:name w:val="Указатель3"/>
    <w:basedOn w:val="Standard"/>
    <w:qFormat/>
    <w:pPr>
      <w:suppressLineNumbers/>
    </w:pPr>
    <w:rPr/>
  </w:style>
  <w:style w:type="paragraph" w:styleId="Style37">
    <w:name w:val="Footer"/>
    <w:basedOn w:val="Standard"/>
    <w:link w:val="af0"/>
    <w:uiPriority w:val="99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1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2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4" w:customStyle="1">
    <w:name w:val="Маркированный список 21"/>
    <w:basedOn w:val="Style33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8">
    <w:name w:val="Header"/>
    <w:basedOn w:val="Standard"/>
    <w:link w:val="af2"/>
    <w:uiPriority w:val="99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9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3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4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40" w:customStyle="1">
    <w:name w:val="Примечание"/>
    <w:qFormat/>
    <w:pPr>
      <w:widowControl/>
      <w:tabs>
        <w:tab w:val="left" w:pos="2982" w:leader="none"/>
      </w:tabs>
      <w:bidi w:val="0"/>
      <w:spacing w:before="120" w:after="0"/>
      <w:ind w:left="1491" w:hanging="1491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Style41" w:customStyle="1">
    <w:name w:val="примечание_продолжение"/>
    <w:basedOn w:val="Style40"/>
    <w:qFormat/>
    <w:pPr>
      <w:spacing w:before="0" w:after="0"/>
      <w:ind w:left="1491" w:hanging="357"/>
    </w:pPr>
    <w:rPr/>
  </w:style>
  <w:style w:type="paragraph" w:styleId="Style42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43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44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5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45" w:customStyle="1">
    <w:name w:val="диаметр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Style46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</w:rPr>
  </w:style>
  <w:style w:type="paragraph" w:styleId="125" w:customStyle="1">
    <w:name w:val="Нумерованный список1"/>
    <w:qFormat/>
    <w:pPr>
      <w:widowControl/>
      <w:bidi w:val="0"/>
      <w:spacing w:before="0" w:after="0"/>
      <w:ind w:left="0" w:firstLine="709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216" w:customStyle="1">
    <w:name w:val="Нумерованный список 21"/>
    <w:qFormat/>
    <w:pPr>
      <w:widowControl/>
      <w:bidi w:val="0"/>
      <w:spacing w:before="0" w:after="0"/>
      <w:ind w:left="0" w:firstLine="709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Style47" w:customStyle="1">
    <w:name w:val="Приложение"/>
    <w:qFormat/>
    <w:pPr>
      <w:pageBreakBefore/>
      <w:widowControl/>
      <w:bidi w:val="0"/>
      <w:spacing w:before="0" w:after="0"/>
      <w:ind w:hanging="0"/>
      <w:jc w:val="center"/>
    </w:pPr>
    <w:rPr>
      <w:rFonts w:ascii="Arial" w:hAnsi="Arial" w:eastAsia="Arial" w:cs="Arial"/>
      <w:b/>
      <w:bCs/>
      <w:i/>
      <w:color w:val="auto"/>
      <w:sz w:val="26"/>
      <w:szCs w:val="24"/>
      <w:lang w:bidi="ar-SA" w:val="ru-RU" w:eastAsia="zh-CN"/>
    </w:rPr>
  </w:style>
  <w:style w:type="paragraph" w:styleId="Style48" w:customStyle="1">
    <w:name w:val="градус Цельсия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Style49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50" w:customStyle="1">
    <w:name w:val="табл_заголовок"/>
    <w:qFormat/>
    <w:pPr>
      <w:keepNext/>
      <w:keepLines/>
      <w:widowControl/>
      <w:bidi w:val="0"/>
      <w:spacing w:before="0" w:after="0"/>
      <w:ind w:hanging="0"/>
      <w:jc w:val="center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Style51" w:customStyle="1">
    <w:name w:val="от_ и_ до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Style52" w:customStyle="1">
    <w:name w:val="Поразделу"/>
    <w:basedOn w:val="215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53" w:customStyle="1">
    <w:name w:val="нумерован"/>
    <w:basedOn w:val="Textbody"/>
    <w:qFormat/>
    <w:pPr>
      <w:tabs>
        <w:tab w:val="left" w:pos="1134" w:leader="none"/>
      </w:tabs>
      <w:spacing w:lineRule="auto" w:line="360"/>
      <w:ind w:left="0" w:firstLine="709"/>
    </w:pPr>
    <w:rPr/>
  </w:style>
  <w:style w:type="paragraph" w:styleId="Style54" w:customStyle="1">
    <w:name w:val="больше_или_равно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Style55" w:customStyle="1">
    <w:name w:val="градус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Style56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7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8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9" w:customStyle="1">
    <w:name w:val="Проект"/>
    <w:basedOn w:val="Standard"/>
    <w:qFormat/>
    <w:pPr>
      <w:jc w:val="center"/>
    </w:pPr>
    <w:rPr>
      <w:sz w:val="36"/>
    </w:rPr>
  </w:style>
  <w:style w:type="paragraph" w:styleId="Style60" w:customStyle="1">
    <w:name w:val="рррасчет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Style61" w:customStyle="1">
    <w:name w:val="рррасчетзагол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126" w:customStyle="1">
    <w:name w:val="больше_или_равно1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127" w:customStyle="1">
    <w:name w:val="градус1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128" w:customStyle="1">
    <w:name w:val="диаметр1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129" w:customStyle="1">
    <w:name w:val="от_ и_ до1"/>
    <w:qFormat/>
    <w:pPr>
      <w:widowControl/>
      <w:bidi w:val="0"/>
      <w:spacing w:before="0" w:after="0"/>
      <w:ind w:firstLine="709"/>
      <w:jc w:val="left"/>
    </w:pPr>
    <w:rPr>
      <w:rFonts w:eastAsia="Arial" w:ascii="Times New Roman" w:hAnsi="Times New Roman" w:cs="Mangal"/>
      <w:color w:val="auto"/>
      <w:sz w:val="22"/>
      <w:szCs w:val="24"/>
      <w:lang w:bidi="ar-SA" w:val="ru-RU" w:eastAsia="zh-CN"/>
    </w:rPr>
  </w:style>
  <w:style w:type="paragraph" w:styleId="Style62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63" w:customStyle="1">
    <w:name w:val="Участие"/>
    <w:basedOn w:val="215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64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65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0" w:customStyle="1">
    <w:name w:val="Схема документа1"/>
    <w:basedOn w:val="Standard"/>
    <w:qFormat/>
    <w:pPr>
      <w:pBdr/>
      <w:shd w:val="solid" w:color="000080" w:fill="auto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Text2" w:customStyle="1">
    <w:name w:val="Text"/>
    <w:basedOn w:val="Standard"/>
    <w:qFormat/>
    <w:pPr>
      <w:spacing w:before="0" w:after="120"/>
    </w:pPr>
    <w:rPr>
      <w:sz w:val="22"/>
      <w:lang w:val="en-US"/>
    </w:rPr>
  </w:style>
  <w:style w:type="paragraph" w:styleId="TableHeading" w:customStyle="1">
    <w:name w:val="Table Heading"/>
    <w:basedOn w:val="TableText"/>
    <w:qFormat/>
    <w:pPr>
      <w:keepNext/>
      <w:spacing w:before="60" w:after="60"/>
      <w:jc w:val="center"/>
    </w:pPr>
    <w:rPr>
      <w:b/>
      <w:lang w:val="ru-RU"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6" w:customStyle="1">
    <w:name w:val="ГВН"/>
    <w:basedOn w:val="1"/>
    <w:qFormat/>
    <w:pPr>
      <w:widowControl w:val="false"/>
      <w:numPr>
        <w:ilvl w:val="0"/>
        <w:numId w:val="0"/>
      </w:numPr>
      <w:ind w:left="432" w:firstLine="277"/>
    </w:pPr>
    <w:rPr>
      <w:caps w:val="false"/>
      <w:smallCaps w:val="false"/>
      <w:lang w:bidi="hi-IN"/>
    </w:rPr>
  </w:style>
  <w:style w:type="paragraph" w:styleId="Style67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8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9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70" w:customStyle="1">
    <w:name w:val="Состав"/>
    <w:basedOn w:val="Style44"/>
    <w:qFormat/>
    <w:pPr/>
    <w:rPr/>
  </w:style>
  <w:style w:type="paragraph" w:styleId="Style71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72" w:customStyle="1">
    <w:name w:val="табл_название"/>
    <w:qFormat/>
    <w:pPr>
      <w:keepNext/>
      <w:widowControl/>
      <w:bidi w:val="0"/>
      <w:spacing w:before="120" w:after="120"/>
      <w:ind w:hanging="0"/>
      <w:jc w:val="center"/>
    </w:pPr>
    <w:rPr>
      <w:rFonts w:eastAsia="Arial" w:ascii="Times New Roman" w:hAnsi="Times New Roman" w:cs="Mangal"/>
      <w:b/>
      <w:color w:val="auto"/>
      <w:sz w:val="24"/>
      <w:szCs w:val="24"/>
      <w:lang w:bidi="ar-SA" w:val="ru-RU" w:eastAsia="zh-CN"/>
    </w:rPr>
  </w:style>
  <w:style w:type="paragraph" w:styleId="Style73" w:customStyle="1">
    <w:name w:val="Таблица_шапка"/>
    <w:basedOn w:val="Standard"/>
    <w:next w:val="Standard"/>
    <w:qFormat/>
    <w:pPr>
      <w:keepNext/>
      <w:pBdr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styleId="Style74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3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5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7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6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1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7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1" w:customStyle="1">
    <w:name w:val="М. список 1"/>
    <w:basedOn w:val="215"/>
    <w:qFormat/>
    <w:pPr>
      <w:spacing w:lineRule="auto" w:line="360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styleId="36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</w:rPr>
  </w:style>
  <w:style w:type="paragraph" w:styleId="Style78" w:customStyle="1">
    <w:name w:val="маркир"/>
    <w:basedOn w:val="Standard"/>
    <w:qFormat/>
    <w:pPr>
      <w:spacing w:lineRule="auto" w:line="360" w:before="120" w:after="120"/>
      <w:ind w:left="1429" w:hanging="360"/>
      <w:jc w:val="both"/>
    </w:pPr>
    <w:rPr/>
  </w:style>
  <w:style w:type="paragraph" w:styleId="132" w:customStyle="1">
    <w:name w:val="Обычный отступ1"/>
    <w:basedOn w:val="Standard"/>
    <w:qFormat/>
    <w:pPr>
      <w:widowControl w:val="false"/>
      <w:spacing w:lineRule="auto" w:line="276"/>
      <w:ind w:left="1069" w:hanging="360"/>
      <w:jc w:val="both"/>
    </w:pPr>
    <w:rPr>
      <w:spacing w:val="-4"/>
      <w:sz w:val="26"/>
    </w:rPr>
  </w:style>
  <w:style w:type="paragraph" w:styleId="Style79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80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81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3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4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8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ind w:left="1209" w:hanging="360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ind w:left="1080" w:hanging="360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ind w:left="0" w:firstLine="709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135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9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7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0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38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solid" w:color="CCCCCC" w:fill="auto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styleId="Style82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ind w:left="720" w:hanging="36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pBdr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3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</w:rPr>
  </w:style>
  <w:style w:type="paragraph" w:styleId="Style84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</w:rPr>
  </w:style>
  <w:style w:type="paragraph" w:styleId="Style85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</w:rPr>
  </w:style>
  <w:style w:type="paragraph" w:styleId="145" w:customStyle="1">
    <w:name w:val="Обычный +14"/>
    <w:basedOn w:val="Standard"/>
    <w:qFormat/>
    <w:pPr>
      <w:widowControl w:val="false"/>
      <w:pBdr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6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/>
  </w:style>
  <w:style w:type="paragraph" w:styleId="Style87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8" w:customStyle="1">
    <w:name w:val="маркирован"/>
    <w:basedOn w:val="122"/>
    <w:qFormat/>
    <w:pPr>
      <w:tabs>
        <w:tab w:val="left" w:pos="993" w:leader="none"/>
      </w:tabs>
      <w:ind w:left="360" w:hanging="360"/>
    </w:pPr>
    <w:rPr/>
  </w:style>
  <w:style w:type="paragraph" w:styleId="Style89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90" w:customStyle="1">
    <w:name w:val="Стиль таблицы"/>
    <w:basedOn w:val="Standard"/>
    <w:qFormat/>
    <w:pPr/>
    <w:rPr/>
  </w:style>
  <w:style w:type="paragraph" w:styleId="Style91" w:customStyle="1">
    <w:name w:val="Достижение"/>
    <w:basedOn w:val="Textbody"/>
    <w:qFormat/>
    <w:pPr>
      <w:spacing w:lineRule="atLeast" w:line="220" w:before="0" w:after="60"/>
      <w:ind w:left="0" w:firstLine="709"/>
    </w:pPr>
    <w:rPr>
      <w:rFonts w:ascii="Arial" w:hAnsi="Arial" w:eastAsia="Batang, 바탕" w:cs="Arial"/>
      <w:spacing w:val="-5"/>
      <w:sz w:val="20"/>
    </w:rPr>
  </w:style>
  <w:style w:type="paragraph" w:styleId="Style92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ind w:left="1492" w:hanging="36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uiPriority w:val="99"/>
    <w:qFormat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FR1" w:customStyle="1">
    <w:name w:val="FR1"/>
    <w:qFormat/>
    <w:pPr>
      <w:widowControl/>
      <w:bidi w:val="0"/>
      <w:spacing w:before="1100" w:after="0"/>
      <w:ind w:hanging="0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139" w:customStyle="1">
    <w:name w:val="Обычный1"/>
    <w:qFormat/>
    <w:pPr>
      <w:widowControl/>
      <w:bidi w:val="0"/>
      <w:spacing w:before="0" w:after="0"/>
      <w:ind w:hanging="0"/>
      <w:jc w:val="left"/>
    </w:pPr>
    <w:rPr>
      <w:rFonts w:eastAsia="Arial" w:ascii="Times New Roman" w:hAnsi="Times New Roman" w:cs="Mangal"/>
      <w:color w:val="auto"/>
      <w:sz w:val="24"/>
      <w:szCs w:val="24"/>
      <w:lang w:bidi="ar-SA" w:val="ru-RU" w:eastAsia="zh-CN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styleId="Style93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</w:rPr>
  </w:style>
  <w:style w:type="paragraph" w:styleId="140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</w:rPr>
  </w:style>
  <w:style w:type="paragraph" w:styleId="146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</w:rPr>
  </w:style>
  <w:style w:type="paragraph" w:styleId="Style94" w:customStyle="1">
    <w:name w:val="Содержимое таблицы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sz w:val="22"/>
    </w:rPr>
  </w:style>
  <w:style w:type="paragraph" w:styleId="Style95" w:customStyle="1">
    <w:name w:val="Заголовок таблицы"/>
    <w:basedOn w:val="Style94"/>
    <w:qFormat/>
    <w:pPr>
      <w:jc w:val="center"/>
    </w:pPr>
    <w:rPr>
      <w:b/>
      <w:bCs/>
      <w:i/>
      <w:iCs/>
    </w:rPr>
  </w:style>
  <w:style w:type="paragraph" w:styleId="147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2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</w:rPr>
  </w:style>
  <w:style w:type="paragraph" w:styleId="2113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8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4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6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</w:rPr>
  </w:style>
  <w:style w:type="paragraph" w:styleId="BodyText31" w:customStyle="1">
    <w:name w:val="Body Text 31"/>
    <w:basedOn w:val="Standard"/>
    <w:qFormat/>
    <w:pPr>
      <w:widowControl w:val="false"/>
      <w:spacing w:lineRule="auto" w:line="360"/>
      <w:jc w:val="center"/>
    </w:pPr>
    <w:rPr>
      <w:rFonts w:eastAsia="Lucida Sans Unicode"/>
      <w:b/>
      <w:sz w:val="28"/>
    </w:rPr>
  </w:style>
  <w:style w:type="paragraph" w:styleId="149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FR2" w:customStyle="1">
    <w:name w:val="FR2"/>
    <w:qFormat/>
    <w:pPr>
      <w:widowControl/>
      <w:bidi w:val="0"/>
      <w:spacing w:lineRule="auto" w:line="300" w:before="0" w:after="0"/>
      <w:ind w:left="1320" w:hanging="0"/>
      <w:jc w:val="right"/>
    </w:pPr>
    <w:rPr>
      <w:rFonts w:eastAsia="Arial" w:ascii="Times New Roman" w:hAnsi="Times New Roman" w:cs="Mangal"/>
      <w:b/>
      <w:color w:val="auto"/>
      <w:sz w:val="32"/>
      <w:szCs w:val="24"/>
      <w:lang w:bidi="ar-SA" w:val="ru-RU" w:eastAsia="zh-CN"/>
    </w:rPr>
  </w:style>
  <w:style w:type="paragraph" w:styleId="Style97" w:customStyle="1">
    <w:name w:val="маркер"/>
    <w:basedOn w:val="Standard"/>
    <w:qFormat/>
    <w:pPr>
      <w:ind w:left="2640" w:hanging="360"/>
    </w:pPr>
    <w:rPr/>
  </w:style>
  <w:style w:type="paragraph" w:styleId="TableContents" w:customStyle="1">
    <w:name w:val="Table Contents"/>
    <w:basedOn w:val="Standard"/>
    <w:qFormat/>
    <w:pPr>
      <w:widowControl w:val="false"/>
    </w:pPr>
    <w:rPr>
      <w:rFonts w:cs="Tahoma"/>
      <w:color w:val="000000"/>
    </w:rPr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/>
  </w:style>
  <w:style w:type="paragraph" w:styleId="Style710" w:customStyle="1">
    <w:name w:val="Style7"/>
    <w:basedOn w:val="Standard"/>
    <w:qFormat/>
    <w:pPr>
      <w:widowControl w:val="false"/>
    </w:pPr>
    <w:rPr/>
  </w:style>
  <w:style w:type="paragraph" w:styleId="Style810" w:customStyle="1">
    <w:name w:val="Style8"/>
    <w:basedOn w:val="Standard"/>
    <w:qFormat/>
    <w:pPr>
      <w:widowControl w:val="false"/>
    </w:pPr>
    <w:rPr/>
  </w:style>
  <w:style w:type="paragraph" w:styleId="Style98" w:customStyle="1">
    <w:name w:val="?????????? ???????"/>
    <w:basedOn w:val="Standard"/>
    <w:qFormat/>
    <w:pPr>
      <w:widowControl w:val="false"/>
      <w:suppressLineNumbers/>
    </w:pPr>
    <w:rPr>
      <w:color w:val="000000"/>
    </w:rPr>
  </w:style>
  <w:style w:type="paragraph" w:styleId="Style99" w:customStyle="1">
    <w:name w:val="????????? ???????"/>
    <w:basedOn w:val="Style98"/>
    <w:qFormat/>
    <w:pPr>
      <w:jc w:val="center"/>
    </w:pPr>
    <w:rPr>
      <w:b/>
      <w:i/>
    </w:rPr>
  </w:style>
  <w:style w:type="paragraph" w:styleId="101" w:customStyle="1">
    <w:name w:val="Оглавление 10"/>
    <w:basedOn w:val="35"/>
    <w:qFormat/>
    <w:pPr>
      <w:tabs>
        <w:tab w:val="right" w:pos="9638" w:leader="dot"/>
      </w:tabs>
      <w:ind w:left="2547" w:hanging="0"/>
    </w:pPr>
    <w:rPr/>
  </w:style>
  <w:style w:type="paragraph" w:styleId="Style100" w:customStyle="1">
    <w:name w:val="Заголовки разделов"/>
    <w:qFormat/>
    <w:pPr>
      <w:widowControl/>
      <w:bidi w:val="0"/>
      <w:spacing w:before="0" w:after="0"/>
      <w:ind w:hanging="0"/>
      <w:jc w:val="center"/>
    </w:pPr>
    <w:rPr>
      <w:rFonts w:ascii="Arial Narrow" w:hAnsi="Arial Narrow" w:eastAsia="Arial" w:cs="Mangal"/>
      <w:b/>
      <w:color w:val="auto"/>
      <w:sz w:val="40"/>
      <w:szCs w:val="24"/>
      <w:lang w:val="ru-RU" w:eastAsia="zh-CN" w:bidi="hi-IN"/>
    </w:rPr>
  </w:style>
  <w:style w:type="paragraph" w:styleId="Style101">
    <w:name w:val="Body Text Indent"/>
    <w:basedOn w:val="Normal"/>
    <w:qFormat/>
    <w:pPr>
      <w:spacing w:before="0" w:after="120"/>
      <w:ind w:left="283" w:firstLine="284"/>
    </w:pPr>
    <w:rPr>
      <w:szCs w:val="21"/>
    </w:rPr>
  </w:style>
  <w:style w:type="paragraph" w:styleId="ListParagraph">
    <w:name w:val="List Paragraph"/>
    <w:basedOn w:val="Normal"/>
    <w:uiPriority w:val="34"/>
    <w:qFormat/>
    <w:rsid w:val="00f222af"/>
    <w:pPr>
      <w:spacing w:before="0" w:after="100"/>
      <w:ind w:left="720" w:firstLine="284"/>
      <w:contextualSpacing/>
    </w:pPr>
    <w:rPr>
      <w:szCs w:val="21"/>
    </w:rPr>
  </w:style>
  <w:style w:type="paragraph" w:styleId="NoSpacing">
    <w:name w:val="No Spacing"/>
    <w:link w:val="afffffd"/>
    <w:uiPriority w:val="1"/>
    <w:qFormat/>
    <w:rsid w:val="00185e80"/>
    <w:pPr>
      <w:widowControl/>
      <w:suppressAutoHyphens w:val="false"/>
      <w:bidi w:val="0"/>
      <w:spacing w:before="0" w:after="0"/>
      <w:ind w:hanging="0"/>
      <w:jc w:val="left"/>
    </w:pPr>
    <w:rPr>
      <w:rFonts w:ascii="Times New Roman" w:hAnsi="Times New Roman" w:eastAsia="SimSun" w:cs="Mangal" w:asciiTheme="minorHAnsi" w:cstheme="minorBidi" w:eastAsiaTheme="minorEastAsia" w:hAnsiTheme="minorHAnsi"/>
      <w:color w:val="auto"/>
      <w:sz w:val="22"/>
      <w:szCs w:val="22"/>
      <w:lang w:eastAsia="ru-RU" w:bidi="ar-SA" w:val="ru-RU"/>
    </w:rPr>
  </w:style>
  <w:style w:type="paragraph" w:styleId="TOCHeading">
    <w:name w:val="TOC Heading"/>
    <w:basedOn w:val="1"/>
    <w:uiPriority w:val="39"/>
    <w:unhideWhenUsed/>
    <w:qFormat/>
    <w:rsid w:val="007d2175"/>
    <w:pPr>
      <w:keepLines/>
      <w:numPr>
        <w:ilvl w:val="0"/>
        <w:numId w:val="0"/>
      </w:numPr>
      <w:suppressAutoHyphens w:val="false"/>
      <w:spacing w:lineRule="auto" w:line="276" w:before="480" w:after="0"/>
    </w:pPr>
    <w:rPr>
      <w:rFonts w:ascii="Arial" w:hAnsi="Arial" w:eastAsia="Arial" w:cs="Arial" w:asciiTheme="majorHAnsi" w:cstheme="majorBidi" w:eastAsiaTheme="majorEastAsia" w:hAnsiTheme="majorHAnsi"/>
      <w:bCs/>
      <w:caps w:val="false"/>
      <w:smallCaps w:val="false"/>
      <w:color w:val="365F91" w:themeColor="accent1" w:themeShade="bf"/>
      <w:szCs w:val="28"/>
      <w:lang w:eastAsia="ru-RU"/>
    </w:rPr>
  </w:style>
  <w:style w:type="paragraph" w:styleId="150">
    <w:name w:val="TOC 1"/>
    <w:basedOn w:val="Normal"/>
    <w:autoRedefine/>
    <w:uiPriority w:val="39"/>
    <w:rsid w:val="00710ef6"/>
    <w:pPr>
      <w:tabs>
        <w:tab w:val="left" w:pos="567" w:leader="none"/>
        <w:tab w:val="right" w:pos="9946" w:leader="dot"/>
      </w:tabs>
      <w:spacing w:lineRule="auto" w:line="360" w:before="0" w:after="0"/>
      <w:ind w:hanging="0"/>
    </w:pPr>
    <w:rPr>
      <w:b/>
      <w:sz w:val="28"/>
      <w:szCs w:val="21"/>
    </w:rPr>
  </w:style>
  <w:style w:type="paragraph" w:styleId="TableParagraph" w:customStyle="1">
    <w:name w:val="Table Paragraph"/>
    <w:basedOn w:val="Normal"/>
    <w:uiPriority w:val="1"/>
    <w:qFormat/>
    <w:rsid w:val="005a66f7"/>
    <w:pPr>
      <w:suppressAutoHyphens w:val="false"/>
      <w:spacing w:before="28" w:after="0"/>
      <w:ind w:right="101" w:hanging="0"/>
      <w:jc w:val="right"/>
    </w:pPr>
    <w:rPr>
      <w:rFonts w:eastAsia="Times New Roman" w:cs="Times New Roman"/>
      <w:sz w:val="22"/>
      <w:szCs w:val="22"/>
      <w:lang w:val="en-US" w:eastAsia="en-US" w:bidi="ar-SA"/>
    </w:rPr>
  </w:style>
  <w:style w:type="paragraph" w:styleId="Formattext" w:customStyle="1">
    <w:name w:val="formattext"/>
    <w:qFormat/>
    <w:rsid w:val="009b11e2"/>
    <w:pPr>
      <w:widowControl/>
      <w:suppressAutoHyphens w:val="false"/>
      <w:bidi w:val="0"/>
      <w:spacing w:before="0" w:after="0"/>
      <w:ind w:hanging="0"/>
      <w:jc w:val="left"/>
    </w:pPr>
    <w:rPr>
      <w:rFonts w:eastAsia="Times New Roman" w:cs="Times New Roman" w:ascii="Times New Roman" w:hAnsi="Times New Roman"/>
      <w:color w:val="auto"/>
      <w:sz w:val="18"/>
      <w:szCs w:val="18"/>
      <w:lang w:eastAsia="ru-RU" w:bidi="ar-SA" w:val="ru-RU"/>
    </w:rPr>
  </w:style>
  <w:style w:type="paragraph" w:styleId="Headertext" w:customStyle="1">
    <w:name w:val="headertext"/>
    <w:basedOn w:val="Normal"/>
    <w:qFormat/>
    <w:rsid w:val="009b11e2"/>
    <w:pPr>
      <w:widowControl/>
      <w:suppressAutoHyphens w:val="false"/>
      <w:spacing w:beforeAutospacing="1" w:afterAutospacing="1"/>
      <w:ind w:hanging="0"/>
      <w:jc w:val="left"/>
    </w:pPr>
    <w:rPr>
      <w:rFonts w:eastAsia="Times New Roman" w:cs="Times New Roman"/>
      <w:lang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f9">
    <w:name w:val="Table Grid"/>
    <w:basedOn w:val="a9"/>
    <w:uiPriority w:val="59"/>
    <w:rPr>
      <w:lang w:bidi="ar-SA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5a66f7"/>
    <w:pPr>
      <w:spacing w:after="0"/>
      <w:jc w:val="left"/>
    </w:pPr>
    <w:rPr>
      <w:rFonts w:asciiTheme="minorHAnsi" w:hAnsiTheme="minorHAnsi" w:eastAsiaTheme="minorHAnsi" w:cstheme="minorBidi"/>
      <w:lang w:val="en-US" w:eastAsia="en-US" w:bidi="ar-SA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DC4F8-E90B-468A-A398-0D3810C20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Application>LibreOffice/5.2.5.1$Windows_X86_64 LibreOffice_project/0312e1a284a7d50ca85a365c316c7abbf20a4d22</Application>
  <Pages>12</Pages>
  <Words>1565</Words>
  <Characters>11662</Characters>
  <CharactersWithSpaces>13194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2022-01-27T05:51:00Z</dcterms:created>
  <dc:creator>Andr1211</dc:creator>
  <dc:description/>
  <dc:language>ru-RU</dc:language>
  <cp:lastModifiedBy/>
  <cp:lastPrinted>2022-04-01T11:41:06Z</cp:lastPrinted>
  <dcterms:modified xsi:type="dcterms:W3CDTF">2022-04-01T11:48:12Z</dcterms:modified>
  <cp:revision>46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